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</w:rPr>
        <w:t xml:space="preserve">Requisitos Funcionales y Casos de Uso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Sistema de Cine con Agente de Voz (IA) — Segundo Parcial</w:t>
      </w:r>
    </w:p>
    <w:p>
      <w:pPr>
        <w:spacing w:after="300"/>
      </w:pPr>
      <w:r>
        <w:rPr>
          <w:b/>
          <w:bCs/>
          <w:color w:val="888888"/>
          <w:sz w:val="20"/>
          <w:szCs w:val="20"/>
        </w:rPr>
        <w:t xml:space="preserve">Versión final</w:t>
      </w:r>
    </w:p>
    <w:p>
      <w:pPr>
        <w:pStyle w:val="Heading1"/>
        <w:spacing w:after="150"/>
      </w:pPr>
      <w:r>
        <w:t xml:space="preserve">Requisitos Funcionales</w:t>
      </w:r>
    </w:p>
    <w:p>
      <w:pPr>
        <w:pStyle w:val="Heading2"/>
        <w:spacing w:after="150" w:before="300"/>
      </w:pPr>
      <w:r>
        <w:t xml:space="preserve">Módulo 1: Cliente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50"/>
        <w:gridCol w:w="1500"/>
      </w:tblGrid>
      <w:tr>
        <w:trPr>
          <w:tblHeader/>
        </w:trPr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65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RF01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 al cliente comprar entradas por voz (elegir película, horario, sala y asientos), interpretando lenguaje natural.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Indispensable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RF02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generar un resumen visual (interfaz generativa) de la compra antes de confirmar el pago.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RF03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informar al cliente que la compra no tiene reembolso y registrar su aceptación antes de procesar el pago.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Indispensable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RF04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procesar el pago (Stripe, QR, efectivo o tarjeta) y emitir el comprobante/entrada al finalizar la compra.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Indispensable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RF05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ofrecer un modo alternativo sin voz (interfaz táctil convencional) para el cliente que lo prefiera.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RF20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 al cliente agregar productos de dulcería al carrito de compra por voz o interfaz táctil, dentro del mismo flujo de compra de entradas.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50" w:before="300"/>
      </w:pPr>
      <w:r>
        <w:t xml:space="preserve">Módulo 2: Administrador — Cartelera y cronogramas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50"/>
        <w:gridCol w:w="1500"/>
      </w:tblGrid>
      <w:tr>
        <w:trPr>
          <w:tblHeader/>
        </w:trPr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65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RF06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 al administrador gestionar la cartelera por voz (agregar, modificar, eliminar películas), con confirmación antes de aplicar cambios.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Indispensable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RF07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 al administrador gestionar cronogramas de funciones por voz (crear, modificar, cancelar), detectando conflictos de horario/sala.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Indispensable</w:t>
            </w:r>
          </w:p>
        </w:tc>
      </w:tr>
    </w:tbl>
    <w:p>
      <w:pPr>
        <w:pStyle w:val="Heading2"/>
        <w:spacing w:after="150" w:before="300"/>
      </w:pPr>
      <w:r>
        <w:t xml:space="preserve">Módulo 3: Administrador — Ventas y reportes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50"/>
        <w:gridCol w:w="1500"/>
      </w:tblGrid>
      <w:tr>
        <w:trPr>
          <w:tblHeader/>
        </w:trPr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65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RF08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permitir al administrador consultar ventas y generar reportes (totales, por película, por producto) mediante voz.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  <w:spacing w:after="150" w:before="300"/>
      </w:pPr>
      <w:r>
        <w:t xml:space="preserve">Módulo 4: Interacción admin–IA como asistente delegado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50"/>
        <w:gridCol w:w="1500"/>
      </w:tblGrid>
      <w:tr>
        <w:trPr>
          <w:tblHeader/>
        </w:trPr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65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RF09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pedir aclaración por voz cuando una instrucción del administrador sea ambigua.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RF10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ejecutar en el sistema real (base de datos) las acciones de gestión confirmadas, no solo simularlas verbalmente.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Indispensable</w:t>
            </w:r>
          </w:p>
        </w:tc>
      </w:tr>
    </w:tbl>
    <w:p>
      <w:pPr>
        <w:pStyle w:val="Heading2"/>
        <w:spacing w:after="150" w:before="300"/>
      </w:pPr>
      <w:r>
        <w:t xml:space="preserve">Módulo 5: Control de acceso y roles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50"/>
        <w:gridCol w:w="1500"/>
      </w:tblGrid>
      <w:tr>
        <w:trPr>
          <w:tblHeader/>
        </w:trPr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65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RF11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distinguir el rol de quien habla (cliente vs. administrador) para habilitar las funciones correspondientes.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Indispensable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RF12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mantener un historial/log de las acciones de gestión realizadas por el administrador, para trazabilidad.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after="150" w:before="300"/>
      </w:pPr>
      <w:r>
        <w:t xml:space="preserve">Módulo 6: Núcleo del agente de 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50"/>
        <w:gridCol w:w="1500"/>
      </w:tblGrid>
      <w:tr>
        <w:trPr>
          <w:tblHeader/>
        </w:trPr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65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RF13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convertir voz a texto (STT) y texto a voz (TTS) de forma local, sin depender de la nube.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Indispensable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RF14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interpretar la intención del usuario mediante un modelo de IA entrenado/personalizado con el dominio del cine.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Indispensable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RF15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operar en tres niveles de despliegue (servidor local, máquina local, dispositivo móvil ligero), adaptando la complejidad del modelo según el hardware disponible.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Indispensable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RF16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funcionar en modo base solo con micrófono y parlante, sin depender obligatoriamente de pantalla.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Indispensable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RF17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debe degradar de forma controlada la naturalidad conversacional en el nivel de hardware más limitado, sin perder funcionalidad crítica.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RF18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Soporte de interfaz Audio + UI Generativa: al procesar una instrucción de voz, el sistema debe renderizar dinámicamente componentes visuales en tiempo real según la intención recibida (MovieGridWidget, SeatingMapWidget o DigitalTicketWidget).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RF19</w:t>
            </w:r>
          </w:p>
        </w:tc>
        <w:tc>
          <w:tcPr>
            <w:tcW w:type="dxa" w:w="66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Confirmación verbal obligatoria (double check): para evitar compras accidentales por voz, el sistema debe realizar una confirmación auditiva explícita antes de registrar la venta.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Indispensable</w:t>
            </w:r>
          </w:p>
        </w:tc>
      </w:tr>
    </w:tbl>
    <w:p>
      <w:pPr>
        <w:spacing w:after="200" w:before="300"/>
      </w:pPr>
      <w:r>
        <w:rPr>
          <w:b/>
          <w:bCs/>
        </w:rPr>
        <w:t xml:space="preserve">Total: 20 Requisitos Funcionales, organizados en 6 módulos.</w:t>
      </w:r>
    </w:p>
    <w:p>
      <w:pPr>
        <w:pStyle w:val="Heading1"/>
        <w:pageBreakBefore/>
        <w:spacing w:after="150" w:before="400"/>
      </w:pPr>
      <w:r>
        <w:t xml:space="preserve">Casos de Uso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750"/>
        <w:gridCol w:w="3000"/>
      </w:tblGrid>
      <w:tr>
        <w:trPr>
          <w:tblHeader/>
        </w:trPr>
        <w:tc>
          <w:tcPr>
            <w:tcW w:type="dxa" w:w="1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75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primario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 cubiertos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20"/>
                <w:szCs w:val="20"/>
              </w:rPr>
              <w:t xml:space="preserve">CU01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cartelera y funciones disponibles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RF01 (parcial), RF14, RF16, RF18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20"/>
                <w:szCs w:val="20"/>
              </w:rPr>
              <w:t xml:space="preserve">CU02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Comprar entradas para una función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RF01, RF02, RF03, RF04, RF05, RF13, RF14, RF16, RF18, RF19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20"/>
                <w:szCs w:val="20"/>
              </w:rPr>
              <w:t xml:space="preserve">CU03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Gestionar cartelera de películas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RF06, RF09, RF10, RF11, RF12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20"/>
                <w:szCs w:val="20"/>
              </w:rPr>
              <w:t xml:space="preserve">CU04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Gestionar funciones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RF07, RF09, RF10, RF11, RF12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20"/>
                <w:szCs w:val="20"/>
              </w:rPr>
              <w:t xml:space="preserve">CU05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Generar reportes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RF08, RF11, RF12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20"/>
                <w:szCs w:val="20"/>
              </w:rPr>
              <w:t xml:space="preserve">CU06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Gestionar promociones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RF10, RF11, RF12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20"/>
                <w:szCs w:val="20"/>
              </w:rPr>
              <w:t xml:space="preserve">CU07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Gestionar precios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RF10, RF11, RF12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20"/>
                <w:szCs w:val="20"/>
              </w:rPr>
              <w:t xml:space="preserve">CU08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Generar interfaz dinámica según la intención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Sistema/IA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RF18</w:t>
            </w:r>
          </w:p>
        </w:tc>
      </w:tr>
      <w:tr>
        <w:tc>
          <w:tcPr>
            <w:tcW w:type="dxa" w:w="1000"/>
          </w:tcPr>
          <w:p>
            <w:r>
              <w:rPr>
                <w:b/>
                <w:bCs/>
                <w:sz w:val="20"/>
                <w:szCs w:val="20"/>
              </w:rPr>
              <w:t xml:space="preserve">CU09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Comprar productos de dulcería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RF20 (extiende CU02, mismo carrito)</w:t>
            </w:r>
          </w:p>
        </w:tc>
      </w:tr>
    </w:tbl>
    <w:p>
      <w:pPr>
        <w:spacing w:before="300"/>
      </w:pPr>
      <w:r>
        <w:rPr>
          <w:b/>
          <w:bCs/>
        </w:rPr>
        <w:t xml:space="preserve">Total: 9 Casos de Uso, cubriendo 2 actores humanos (Cliente, Administrador) más el Sistema/IA.</w:t>
      </w:r>
    </w:p>
    <w:p>
      <w:pPr>
        <w:spacing w:before="200"/>
      </w:pPr>
      <w:r>
        <w:rPr>
          <w:i/>
          <w:iCs/>
          <w:sz w:val="20"/>
          <w:szCs w:val="20"/>
        </w:rPr>
        <w:t xml:space="preserve">Stack tecnológico: NestJS (backend), React (frontend web), Flutter (móvil), PostgreSQL/Supabase (base de datos), FastAPI (servicio de IA).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2026-09-08T02:38:53.540Z</dcterms:created>
  <dcterms:modified xsi:type="dcterms:W3CDTF">2026-09-08T02:38:53.555Z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