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7F1117"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7F111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7F111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7F111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7F111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7F111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7F111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7F111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7F1117">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7F1117">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7F1117">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7F1117">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7F1117">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7F1117">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7F1117">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7F1117">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7F1117">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7F1117">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7F1117">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7F1117">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7F1117">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7F1117">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7F1117">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7F1117">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7F1117">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7F1117">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7F1117">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7F1117">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7F1117">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7F1117">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7F1117">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bookmarkStart w:id="14" w:name="_GoBack"/>
            <w:bookmarkEnd w:id="14"/>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5"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5"/>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6"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2" w:name="_Toc388455888"/>
      <w:r>
        <w:rPr>
          <w:rFonts w:ascii="Garamond" w:hAnsi="Garamond"/>
          <w:color w:val="4C483D"/>
          <w:lang w:val="fr-FR"/>
        </w:rPr>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B81E1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B81E1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B81E1D">
        <w:rPr>
          <w:rFonts w:cs="Miriam"/>
          <w:szCs w:val="24"/>
          <w:lang w:val="fr-FR"/>
        </w:rPr>
        <w:lastRenderedPageBreak/>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4"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B81E1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B81E1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B81E1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B81E1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lastRenderedPageBreak/>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Pr="00321F54"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117" w:rsidRDefault="007F1117">
      <w:pPr>
        <w:spacing w:after="0" w:line="240" w:lineRule="auto"/>
      </w:pPr>
      <w:r>
        <w:separator/>
      </w:r>
    </w:p>
  </w:endnote>
  <w:endnote w:type="continuationSeparator" w:id="0">
    <w:p w:rsidR="007F1117" w:rsidRDefault="007F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117" w:rsidRDefault="007F1117">
      <w:pPr>
        <w:spacing w:after="0" w:line="240" w:lineRule="auto"/>
      </w:pPr>
      <w:r>
        <w:separator/>
      </w:r>
    </w:p>
  </w:footnote>
  <w:footnote w:type="continuationSeparator" w:id="0">
    <w:p w:rsidR="007F1117" w:rsidRDefault="007F11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72029"/>
    <w:rsid w:val="00790A4C"/>
    <w:rsid w:val="007A7ED1"/>
    <w:rsid w:val="007F1117"/>
    <w:rsid w:val="007F60E9"/>
    <w:rsid w:val="007F698A"/>
    <w:rsid w:val="008133AC"/>
    <w:rsid w:val="00817D51"/>
    <w:rsid w:val="008331F6"/>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A807436-3B3D-4073-B6BA-5A6C16D8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9966</TotalTime>
  <Pages>28</Pages>
  <Words>6541</Words>
  <Characters>35980</Characters>
  <Application>Microsoft Office Word</Application>
  <DocSecurity>0</DocSecurity>
  <Lines>299</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199</cp:revision>
  <cp:lastPrinted>2014-05-21T09:19:00Z</cp:lastPrinted>
  <dcterms:created xsi:type="dcterms:W3CDTF">2014-05-15T10:22:00Z</dcterms:created>
  <dcterms:modified xsi:type="dcterms:W3CDTF">2014-12-14T11:58:00Z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