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Content>
        <w:sdt>
          <w:sdtPr>
            <w:rPr>
              <w:rFonts w:eastAsiaTheme="minorHAnsi"/>
              <w:color w:val="595959" w:themeColor="text1" w:themeTint="A6"/>
              <w:kern w:val="20"/>
              <w:lang w:val="fr-FR" w:eastAsia="en-US"/>
            </w:rPr>
            <w:id w:val="596752214"/>
            <w:docPartObj>
              <w:docPartGallery w:val="Cover Pages"/>
              <w:docPartUnique/>
            </w:docPartObj>
          </w:sdtPr>
          <w:sdtContent>
            <w:p w:rsidR="00856ED2" w:rsidRPr="00856ED2" w:rsidRDefault="004563AD" w:rsidP="00856ED2">
              <w:pPr>
                <w:pStyle w:val="Logo"/>
                <w:rPr>
                  <w:lang w:val="fr-FR"/>
                </w:rPr>
              </w:pPr>
              <w:sdt>
                <w:sdtPr>
                  <w:rPr>
                    <w:lang w:val="fr-FR"/>
                  </w:rPr>
                  <w:alias w:val="Cliquez sur l’icône à droite pour remplacer le logo"/>
                  <w:tag w:val="Cliquez sur l’icône à droite pour remplacer le logo"/>
                  <w:id w:val="-759527637"/>
                  <w:picture/>
                </w:sdt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4563AD" w:rsidRPr="00DE0943" w:rsidRDefault="004563AD">
                                              <w:pPr>
                                                <w:pStyle w:val="Coordonnes"/>
                                                <w:jc w:val="right"/>
                                              </w:pPr>
                                              <w:r>
                                                <w:t>Judicael.paquet@gmail.com</w:t>
                                              </w:r>
                                            </w:p>
                                          </w:sdtContent>
                                        </w:sdt>
                                        <w:p w:rsidR="004563AD" w:rsidRPr="00DE0943" w:rsidRDefault="004563A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4563AD" w:rsidRPr="00DE0943" w:rsidRDefault="004563AD"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4563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4563AD" w:rsidRPr="00790A4C" w:rsidRDefault="004563AD" w:rsidP="00DE6F6B">
                                        <w:pPr>
                                          <w:pStyle w:val="Coordonnes"/>
                                          <w:rPr>
                                            <w:lang w:val="fr-FR"/>
                                          </w:rPr>
                                        </w:pPr>
                                        <w:r>
                                          <w:t>Venus Framework</w:t>
                                        </w:r>
                                        <w:r>
                                          <w:br/>
                                          <w:t>Saint Ouen</w:t>
                                        </w:r>
                                      </w:p>
                                    </w:tc>
                                  </w:sdtContent>
                                </w:sdt>
                                <w:tc>
                                  <w:tcPr>
                                    <w:tcW w:w="252" w:type="pct"/>
                                  </w:tcPr>
                                  <w:p w:rsidR="004563AD" w:rsidRPr="00790A4C" w:rsidRDefault="004563AD">
                                    <w:pPr>
                                      <w:pStyle w:val="Coordonnes"/>
                                      <w:rPr>
                                        <w:lang w:val="fr-FR"/>
                                      </w:rPr>
                                    </w:pPr>
                                  </w:p>
                                </w:tc>
                                <w:tc>
                                  <w:tcPr>
                                    <w:tcW w:w="1501" w:type="pct"/>
                                  </w:tcPr>
                                  <w:p w:rsidR="004563AD" w:rsidRDefault="004563AD">
                                    <w:pPr>
                                      <w:pStyle w:val="Coordonnes"/>
                                      <w:jc w:val="center"/>
                                    </w:pPr>
                                    <w:r>
                                      <w:t>PAQUET Judicaël</w:t>
                                    </w:r>
                                  </w:p>
                                  <w:p w:rsidR="004563AD" w:rsidRDefault="004563AD" w:rsidP="00DE6F6B">
                                    <w:pPr>
                                      <w:pStyle w:val="Coordonnes"/>
                                    </w:pPr>
                                  </w:p>
                                </w:tc>
                                <w:tc>
                                  <w:tcPr>
                                    <w:tcW w:w="252" w:type="pct"/>
                                  </w:tcPr>
                                  <w:p w:rsidR="004563AD" w:rsidRDefault="004563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Content>
                                      <w:p w:rsidR="004563AD" w:rsidRPr="00DE0943" w:rsidRDefault="004563AD">
                                        <w:pPr>
                                          <w:pStyle w:val="Coordonnes"/>
                                          <w:jc w:val="right"/>
                                        </w:pPr>
                                        <w:r>
                                          <w:t>Judicael.paquet@gmail.com</w:t>
                                        </w:r>
                                      </w:p>
                                    </w:sdtContent>
                                  </w:sdt>
                                  <w:p w:rsidR="004563AD" w:rsidRPr="00DE0943" w:rsidRDefault="004563AD">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Content>
                                        <w:r w:rsidRPr="00E23989">
                                          <w:t>https://github.com/las93</w:t>
                                        </w:r>
                                      </w:sdtContent>
                                    </w:sdt>
                                  </w:p>
                                </w:tc>
                              </w:tr>
                            </w:tbl>
                            <w:p w:rsidR="004563AD" w:rsidRPr="00DE0943" w:rsidRDefault="004563AD"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63AD" w:rsidRPr="00790A4C" w:rsidRDefault="004563A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4563AD" w:rsidRPr="00790A4C" w:rsidRDefault="004563A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4563AD" w:rsidRPr="00790A4C" w:rsidRDefault="004563AD"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Content>
                                  <w:r w:rsidRPr="00DE0943">
                                    <w:rPr>
                                      <w:lang w:val="fr-FR"/>
                                    </w:rPr>
                                    <w:t>Venus Framework PHP</w:t>
                                  </w:r>
                                </w:sdtContent>
                              </w:sdt>
                            </w:p>
                            <w:p w:rsidR="004563AD" w:rsidRPr="00790A4C" w:rsidRDefault="004563AD"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Content>
                                  <w:r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4563AD">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4563AD">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4563AD">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4563AD">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4563AD">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4563AD">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4563AD">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4563AD">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4563AD">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4563AD">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4563AD">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4563AD">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4563AD">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4563AD">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4563AD">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4563AD">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4563AD">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4563AD">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4563AD">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4563AD">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4563AD">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4563AD">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4563AD">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4563AD">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726385"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726385">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726385"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726385">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A86AA3" w:rsidRDefault="007F698A" w:rsidP="007F698A">
            <w:pPr>
              <w:autoSpaceDE w:val="0"/>
              <w:autoSpaceDN w:val="0"/>
              <w:adjustRightInd w:val="0"/>
              <w:spacing w:after="0" w:line="240" w:lineRule="auto"/>
              <w:rPr>
                <w:rFonts w:ascii="Consolas" w:hAnsi="Consolas" w:cs="Consolas"/>
                <w:lang w:val="fr-FR"/>
              </w:rPr>
            </w:pPr>
          </w:p>
          <w:p w:rsidR="007F698A" w:rsidRPr="007F698A" w:rsidRDefault="007F698A" w:rsidP="007F698A">
            <w:pPr>
              <w:autoSpaceDE w:val="0"/>
              <w:autoSpaceDN w:val="0"/>
              <w:adjustRightInd w:val="0"/>
              <w:spacing w:after="0" w:line="240" w:lineRule="auto"/>
              <w:rPr>
                <w:rFonts w:ascii="Consolas" w:hAnsi="Consolas" w:cs="Consolas"/>
              </w:rPr>
            </w:pPr>
            <w:r w:rsidRPr="00A86AA3">
              <w:rPr>
                <w:rFonts w:ascii="Consolas" w:hAnsi="Consolas" w:cs="Consolas"/>
                <w:color w:val="F6F3E8"/>
                <w:lang w:val="fr-FR"/>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726385" w:rsidRDefault="00BA2A4E" w:rsidP="00BA2A4E">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726385">
        <w:rPr>
          <w:rFonts w:ascii="Consolas" w:hAnsi="Consolas" w:cs="Consolas"/>
        </w:rPr>
        <w:t>"null": false</w:t>
      </w:r>
    </w:p>
    <w:p w:rsidR="00BA2A4E" w:rsidRPr="00726385" w:rsidRDefault="00BA2A4E" w:rsidP="00BA2A4E">
      <w:pPr>
        <w:autoSpaceDE w:val="0"/>
        <w:autoSpaceDN w:val="0"/>
        <w:adjustRightInd w:val="0"/>
        <w:spacing w:after="0" w:line="240" w:lineRule="auto"/>
        <w:rPr>
          <w:rFonts w:ascii="Consolas" w:hAnsi="Consolas" w:cs="Consolas"/>
        </w:rPr>
      </w:pPr>
      <w:r w:rsidRPr="00726385">
        <w:rPr>
          <w:rFonts w:ascii="Consolas" w:hAnsi="Consolas" w:cs="Consolas"/>
        </w:rPr>
        <w:t xml:space="preserve">       </w:t>
      </w:r>
      <w:r w:rsidRPr="00726385">
        <w:rPr>
          <w:rFonts w:ascii="Consolas" w:hAnsi="Consolas" w:cs="Consolas"/>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726385" w:rsidRDefault="005628FB" w:rsidP="003B5007">
      <w:pPr>
        <w:pStyle w:val="NormalWeb"/>
        <w:shd w:val="clear" w:color="auto" w:fill="FFFFFF"/>
        <w:spacing w:before="0" w:after="255"/>
        <w:rPr>
          <w:rFonts w:asciiTheme="minorHAnsi" w:hAnsiTheme="minorHAnsi" w:cs="Miriam"/>
          <w:szCs w:val="24"/>
          <w:u w:val="single"/>
        </w:rPr>
      </w:pPr>
      <w:r w:rsidRPr="00726385">
        <w:rPr>
          <w:rFonts w:asciiTheme="minorHAnsi" w:hAnsiTheme="minorHAnsi" w:cs="Miriam"/>
          <w:szCs w:val="24"/>
          <w:u w:val="single"/>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CA3916" w:rsidRPr="00650AAD" w:rsidRDefault="00CA3916" w:rsidP="00CA3916">
      <w:pPr>
        <w:pStyle w:val="Titre2"/>
        <w:rPr>
          <w:lang w:val="fr-FR"/>
        </w:rPr>
      </w:pPr>
      <w:bookmarkStart w:id="15" w:name="_Toc388455882"/>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lastRenderedPageBreak/>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lastRenderedPageBreak/>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lastRenderedPageBreak/>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e de décider ce qu’on ajoute après le contenu comme les 3 points, ensuite on détermine si on coupe après le dernier mot ou directement au 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lastRenderedPageBreak/>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lastRenderedPageBreak/>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726385"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726385">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726385">
        <w:rPr>
          <w:rFonts w:cs="Miriam"/>
          <w:szCs w:val="24"/>
          <w:lang w:val="fr-FR"/>
        </w:rPr>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 xml:space="preserve">Les modèles proposent de bases de nombreuses fonctions pour jouer avec les entités que l’on a vu précédemment mais elles peuvent rapidement ne pas suffire au besoin utilisateur. Nous </w:t>
      </w:r>
      <w:r>
        <w:rPr>
          <w:rFonts w:cs="Miriam"/>
          <w:szCs w:val="24"/>
          <w:lang w:val="fr-FR"/>
        </w:rPr>
        <w:lastRenderedPageBreak/>
        <w:t>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lastRenderedPageBreak/>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726385"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72638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726385"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726385"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lastRenderedPageBreak/>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CC104B" w:rsidRDefault="00CC104B" w:rsidP="00CC104B">
      <w:pPr>
        <w:pStyle w:val="NormalWeb"/>
        <w:shd w:val="clear" w:color="auto" w:fill="FFFFFF"/>
        <w:spacing w:before="0" w:after="255"/>
        <w:ind w:left="720" w:firstLine="720"/>
        <w:rPr>
          <w:rFonts w:cs="Miriam"/>
          <w:szCs w:val="24"/>
        </w:rPr>
      </w:pPr>
      <w:r w:rsidRPr="00CC104B">
        <w:rPr>
          <w:rFonts w:ascii="Consolas" w:eastAsiaTheme="minorEastAsia" w:hAnsi="Consolas" w:cs="Consolas"/>
          <w:color w:val="000000"/>
          <w:kern w:val="0"/>
          <w:lang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Default="00DF1415" w:rsidP="00D97CFD">
      <w:pPr>
        <w:pStyle w:val="NormalWeb"/>
        <w:shd w:val="clear" w:color="auto" w:fill="FFFFFF"/>
        <w:spacing w:before="0" w:after="255"/>
        <w:rPr>
          <w:rFonts w:cs="Miriam"/>
          <w:szCs w:val="24"/>
          <w:lang w:val="fr-FR"/>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w:t>
      </w:r>
      <w:r w:rsidRPr="00DF1415">
        <w:rPr>
          <w:rFonts w:ascii="Consolas" w:eastAsiaTheme="minorEastAsia" w:hAnsi="Consolas" w:cs="Consolas"/>
          <w:color w:val="0000C0"/>
          <w:kern w:val="0"/>
          <w:lang w:eastAsia="ja-JP"/>
        </w:rPr>
        <w:t xml:space="preserve">, </w:t>
      </w:r>
      <w:r w:rsidRPr="00DF1415">
        <w:rPr>
          <w:rFonts w:ascii="Consolas" w:eastAsiaTheme="minorEastAsia" w:hAnsi="Consolas" w:cs="Consolas"/>
          <w:color w:val="0000C0"/>
          <w:kern w:val="0"/>
          <w:lang w:eastAsia="ja-JP"/>
        </w:rPr>
        <w:t>'</w:t>
      </w:r>
      <w:r w:rsidRPr="00DF1415">
        <w:rPr>
          <w:rFonts w:ascii="Consolas" w:eastAsiaTheme="minorEastAsia" w:hAnsi="Consolas" w:cs="Consolas"/>
          <w:color w:val="0000C0"/>
          <w:kern w:val="0"/>
          <w:lang w:eastAsia="ja-JP"/>
        </w:rPr>
        <w:t>DEFAULT</w:t>
      </w:r>
      <w:r w:rsidRPr="00DF1415">
        <w:rPr>
          <w:rFonts w:ascii="Consolas" w:eastAsiaTheme="minorEastAsia" w:hAnsi="Consolas" w:cs="Consolas"/>
          <w:color w:val="0000C0"/>
          <w:kern w:val="0"/>
          <w:lang w:eastAsia="ja-JP"/>
        </w:rPr>
        <w: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w:t>
      </w:r>
      <w:r>
        <w:rPr>
          <w:rFonts w:cs="Miriam"/>
          <w:szCs w:val="24"/>
          <w:lang w:val="fr-FR"/>
        </w:rPr>
        <w:t xml:space="preserve">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CC104B"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Pr>
          <w:rFonts w:ascii="Consolas" w:eastAsiaTheme="minorEastAsia" w:hAnsi="Consolas" w:cs="Consolas"/>
          <w:color w:val="0000C0"/>
          <w:kern w:val="0"/>
          <w:lang w:eastAsia="ja-JP"/>
        </w:rPr>
        <w:t>, 12</w:t>
      </w:r>
      <w:bookmarkStart w:id="24" w:name="_GoBack"/>
      <w:bookmarkEnd w:id="24"/>
      <w:r w:rsidRPr="00CC104B">
        <w:rPr>
          <w:rFonts w:ascii="Consolas" w:eastAsiaTheme="minorEastAsia" w:hAnsi="Consolas" w:cs="Consolas"/>
          <w:color w:val="000000"/>
          <w:kern w:val="0"/>
          <w:lang w:eastAsia="ja-JP"/>
        </w:rPr>
        <w:t>)</w:t>
      </w:r>
    </w:p>
    <w:p w:rsidR="00D97CFD" w:rsidRPr="00CC104B" w:rsidRDefault="00D97CFD" w:rsidP="00D97CFD">
      <w:pPr>
        <w:pStyle w:val="NormalWeb"/>
        <w:shd w:val="clear" w:color="auto" w:fill="FFFFFF"/>
        <w:spacing w:before="0" w:after="255"/>
        <w:ind w:left="720" w:firstLine="720"/>
        <w:rPr>
          <w:rFonts w:cs="Miriam"/>
          <w:szCs w:val="24"/>
        </w:rPr>
      </w:pPr>
      <w:r w:rsidRPr="00CC104B">
        <w:rPr>
          <w:rFonts w:ascii="Consolas" w:eastAsiaTheme="minorEastAsia" w:hAnsi="Consolas" w:cs="Consolas"/>
          <w:color w:val="000000"/>
          <w:kern w:val="0"/>
          <w:lang w:eastAsia="ja-JP"/>
        </w:rPr>
        <w:t>-&gt;getForm();</w:t>
      </w:r>
    </w:p>
    <w:p w:rsidR="00D97CFD" w:rsidRPr="00DF1415" w:rsidRDefault="00D97CFD" w:rsidP="004912CE">
      <w:pPr>
        <w:pStyle w:val="NormalWeb"/>
        <w:shd w:val="clear" w:color="auto" w:fill="FFFFFF"/>
        <w:spacing w:before="0" w:after="255"/>
        <w:rPr>
          <w:rFonts w:ascii="Consolas" w:hAnsi="Consolas" w:cs="Consolas"/>
          <w:sz w:val="20"/>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w:t>
      </w:r>
      <w:r>
        <w:rPr>
          <w:rFonts w:cs="Miriam"/>
          <w:szCs w:val="24"/>
          <w:lang w:val="fr-FR"/>
        </w:rPr>
        <w:t xml:space="preserve"> permet de sauvegarder ou de modifier rapidement une entité. Pour cela lorsque vous avez une entité faites :</w:t>
      </w:r>
    </w:p>
    <w:p w:rsidR="004912CE"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p>
    <w:p w:rsidR="004912CE" w:rsidRDefault="004912CE" w:rsidP="005E1C84">
      <w:pPr>
        <w:pStyle w:val="NormalWeb"/>
        <w:shd w:val="clear" w:color="auto" w:fill="FFFFFF"/>
        <w:spacing w:before="0" w:after="255"/>
        <w:rPr>
          <w:rFonts w:cs="Miriam"/>
          <w:szCs w:val="24"/>
          <w:lang w:val="fr-FR"/>
        </w:rPr>
      </w:pPr>
      <w:r>
        <w:rPr>
          <w:rFonts w:cs="Miriam"/>
          <w:szCs w:val="24"/>
          <w:lang w:val="fr-FR"/>
        </w:rPr>
        <w:t>$oEntity-&gt;remove() ; pour la supprimer</w:t>
      </w:r>
    </w:p>
    <w:p w:rsidR="004912CE" w:rsidRPr="00321F54" w:rsidRDefault="004912CE" w:rsidP="005E1C84">
      <w:pPr>
        <w:pStyle w:val="NormalWeb"/>
        <w:shd w:val="clear" w:color="auto" w:fill="FFFFFF"/>
        <w:spacing w:before="0" w:after="255"/>
        <w:rPr>
          <w:rFonts w:cs="Miriam"/>
          <w:szCs w:val="24"/>
          <w:lang w:val="fr-FR"/>
        </w:rPr>
      </w:pPr>
    </w:p>
    <w:p w:rsidR="00DE6F6B" w:rsidRPr="00E85A61" w:rsidRDefault="003E7D68" w:rsidP="004563AD">
      <w:pPr>
        <w:pStyle w:val="NormalWeb"/>
        <w:shd w:val="clear" w:color="auto" w:fill="FFFFFF"/>
        <w:spacing w:before="0" w:after="255"/>
        <w:rPr>
          <w:rFonts w:asciiTheme="minorHAnsi" w:hAnsiTheme="minorHAnsi"/>
          <w:lang w:val="fr-FR"/>
        </w:rPr>
      </w:pPr>
      <w:r w:rsidRPr="00321F54">
        <w:rPr>
          <w:rFonts w:asciiTheme="minorHAnsi" w:hAnsiTheme="minorHAnsi" w:cs="Miriam"/>
          <w:szCs w:val="24"/>
          <w:lang w:val="fr-FR"/>
        </w:rPr>
        <w:t xml:space="preserve"> </w:t>
      </w:r>
      <w:r w:rsidR="00DE6F6B" w:rsidRPr="00E85A61">
        <w:rPr>
          <w:rFonts w:asciiTheme="minorHAnsi" w:hAnsiTheme="minorHAnsi" w:cs="Miriam"/>
          <w:szCs w:val="24"/>
          <w:lang w:val="fr-FR"/>
        </w:rPr>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C28" w:rsidRDefault="008E2C28">
      <w:pPr>
        <w:spacing w:after="0" w:line="240" w:lineRule="auto"/>
      </w:pPr>
      <w:r>
        <w:separator/>
      </w:r>
    </w:p>
  </w:endnote>
  <w:endnote w:type="continuationSeparator" w:id="0">
    <w:p w:rsidR="008E2C28" w:rsidRDefault="008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C28" w:rsidRDefault="008E2C28">
      <w:pPr>
        <w:spacing w:after="0" w:line="240" w:lineRule="auto"/>
      </w:pPr>
      <w:r>
        <w:separator/>
      </w:r>
    </w:p>
  </w:footnote>
  <w:footnote w:type="continuationSeparator" w:id="0">
    <w:p w:rsidR="008E2C28" w:rsidRDefault="008E2C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A5F7B"/>
    <w:rsid w:val="000C42F0"/>
    <w:rsid w:val="000C5244"/>
    <w:rsid w:val="000D036A"/>
    <w:rsid w:val="000F4AB2"/>
    <w:rsid w:val="00136726"/>
    <w:rsid w:val="0015385B"/>
    <w:rsid w:val="00155763"/>
    <w:rsid w:val="00173BE1"/>
    <w:rsid w:val="001833F4"/>
    <w:rsid w:val="0018510F"/>
    <w:rsid w:val="00185757"/>
    <w:rsid w:val="001923BC"/>
    <w:rsid w:val="00196818"/>
    <w:rsid w:val="001A7468"/>
    <w:rsid w:val="001C00AA"/>
    <w:rsid w:val="001C424E"/>
    <w:rsid w:val="001D32E2"/>
    <w:rsid w:val="001D40DE"/>
    <w:rsid w:val="001F1C00"/>
    <w:rsid w:val="0020444C"/>
    <w:rsid w:val="0021096B"/>
    <w:rsid w:val="00243346"/>
    <w:rsid w:val="00291470"/>
    <w:rsid w:val="00294426"/>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A18C7"/>
    <w:rsid w:val="003B235C"/>
    <w:rsid w:val="003B5007"/>
    <w:rsid w:val="003C00A6"/>
    <w:rsid w:val="003C5D9F"/>
    <w:rsid w:val="003C6BAB"/>
    <w:rsid w:val="003D6056"/>
    <w:rsid w:val="003E7D68"/>
    <w:rsid w:val="003F1947"/>
    <w:rsid w:val="003F35FB"/>
    <w:rsid w:val="00407B5D"/>
    <w:rsid w:val="0041104C"/>
    <w:rsid w:val="004348AE"/>
    <w:rsid w:val="0044060D"/>
    <w:rsid w:val="0044077E"/>
    <w:rsid w:val="004563AD"/>
    <w:rsid w:val="0048633A"/>
    <w:rsid w:val="004874C5"/>
    <w:rsid w:val="004912CE"/>
    <w:rsid w:val="0049134A"/>
    <w:rsid w:val="004965CD"/>
    <w:rsid w:val="004A1424"/>
    <w:rsid w:val="004A355A"/>
    <w:rsid w:val="004A604E"/>
    <w:rsid w:val="004C4594"/>
    <w:rsid w:val="004D1B65"/>
    <w:rsid w:val="004E22DB"/>
    <w:rsid w:val="004E4FED"/>
    <w:rsid w:val="004E5BBE"/>
    <w:rsid w:val="00524729"/>
    <w:rsid w:val="00530D79"/>
    <w:rsid w:val="00532396"/>
    <w:rsid w:val="005352FA"/>
    <w:rsid w:val="005570A5"/>
    <w:rsid w:val="005628FB"/>
    <w:rsid w:val="005A40FA"/>
    <w:rsid w:val="005A55F7"/>
    <w:rsid w:val="005B1687"/>
    <w:rsid w:val="005C11DD"/>
    <w:rsid w:val="005C4073"/>
    <w:rsid w:val="005E1C84"/>
    <w:rsid w:val="005E3363"/>
    <w:rsid w:val="005E6528"/>
    <w:rsid w:val="00601418"/>
    <w:rsid w:val="00601594"/>
    <w:rsid w:val="00602D27"/>
    <w:rsid w:val="00613F6E"/>
    <w:rsid w:val="00620419"/>
    <w:rsid w:val="00620F2F"/>
    <w:rsid w:val="00622F7C"/>
    <w:rsid w:val="0062465C"/>
    <w:rsid w:val="0063272C"/>
    <w:rsid w:val="0064175E"/>
    <w:rsid w:val="00646F0D"/>
    <w:rsid w:val="00650AAD"/>
    <w:rsid w:val="00654869"/>
    <w:rsid w:val="0066004C"/>
    <w:rsid w:val="006865C9"/>
    <w:rsid w:val="00694E67"/>
    <w:rsid w:val="006B79F5"/>
    <w:rsid w:val="006D366C"/>
    <w:rsid w:val="006F3650"/>
    <w:rsid w:val="006F4383"/>
    <w:rsid w:val="006F51C0"/>
    <w:rsid w:val="00705D86"/>
    <w:rsid w:val="007139FD"/>
    <w:rsid w:val="007140C6"/>
    <w:rsid w:val="00715EE7"/>
    <w:rsid w:val="00726385"/>
    <w:rsid w:val="0073480C"/>
    <w:rsid w:val="00742013"/>
    <w:rsid w:val="00744766"/>
    <w:rsid w:val="00772029"/>
    <w:rsid w:val="00790A4C"/>
    <w:rsid w:val="007A7ED1"/>
    <w:rsid w:val="007F60E9"/>
    <w:rsid w:val="007F698A"/>
    <w:rsid w:val="008133AC"/>
    <w:rsid w:val="00817D51"/>
    <w:rsid w:val="008331F6"/>
    <w:rsid w:val="008379FF"/>
    <w:rsid w:val="0084670A"/>
    <w:rsid w:val="00856ED2"/>
    <w:rsid w:val="00873858"/>
    <w:rsid w:val="008758A7"/>
    <w:rsid w:val="00884154"/>
    <w:rsid w:val="00897BA8"/>
    <w:rsid w:val="008B4533"/>
    <w:rsid w:val="008B5A2A"/>
    <w:rsid w:val="008C705E"/>
    <w:rsid w:val="008D27BB"/>
    <w:rsid w:val="008E2C28"/>
    <w:rsid w:val="008E7BBB"/>
    <w:rsid w:val="008F1663"/>
    <w:rsid w:val="008F201F"/>
    <w:rsid w:val="008F6D23"/>
    <w:rsid w:val="00915179"/>
    <w:rsid w:val="009204C0"/>
    <w:rsid w:val="009333F7"/>
    <w:rsid w:val="00976170"/>
    <w:rsid w:val="00992807"/>
    <w:rsid w:val="009A0471"/>
    <w:rsid w:val="009A11D3"/>
    <w:rsid w:val="009C1A96"/>
    <w:rsid w:val="009C5BF4"/>
    <w:rsid w:val="009F2E86"/>
    <w:rsid w:val="009F5646"/>
    <w:rsid w:val="00A02FFC"/>
    <w:rsid w:val="00A1029D"/>
    <w:rsid w:val="00A12C73"/>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8498F"/>
    <w:rsid w:val="00B8790B"/>
    <w:rsid w:val="00B97DAA"/>
    <w:rsid w:val="00BA2A4E"/>
    <w:rsid w:val="00BB237E"/>
    <w:rsid w:val="00BC0C22"/>
    <w:rsid w:val="00BD15CF"/>
    <w:rsid w:val="00BF0088"/>
    <w:rsid w:val="00C11F87"/>
    <w:rsid w:val="00C13B03"/>
    <w:rsid w:val="00C240AB"/>
    <w:rsid w:val="00C27C64"/>
    <w:rsid w:val="00C32E33"/>
    <w:rsid w:val="00C50E12"/>
    <w:rsid w:val="00C52907"/>
    <w:rsid w:val="00CA0538"/>
    <w:rsid w:val="00CA0D47"/>
    <w:rsid w:val="00CA3916"/>
    <w:rsid w:val="00CC104B"/>
    <w:rsid w:val="00CD06CB"/>
    <w:rsid w:val="00CD0E14"/>
    <w:rsid w:val="00CF64F5"/>
    <w:rsid w:val="00D00D11"/>
    <w:rsid w:val="00D01BCE"/>
    <w:rsid w:val="00D123D0"/>
    <w:rsid w:val="00D2155F"/>
    <w:rsid w:val="00D24F3E"/>
    <w:rsid w:val="00D35B63"/>
    <w:rsid w:val="00D56C60"/>
    <w:rsid w:val="00D700A1"/>
    <w:rsid w:val="00D72395"/>
    <w:rsid w:val="00D97CFD"/>
    <w:rsid w:val="00DA00E7"/>
    <w:rsid w:val="00DA7E52"/>
    <w:rsid w:val="00DB1194"/>
    <w:rsid w:val="00DB4794"/>
    <w:rsid w:val="00DE0943"/>
    <w:rsid w:val="00DE0A1A"/>
    <w:rsid w:val="00DE6F6B"/>
    <w:rsid w:val="00DF1415"/>
    <w:rsid w:val="00DF6D49"/>
    <w:rsid w:val="00E002CB"/>
    <w:rsid w:val="00E12E90"/>
    <w:rsid w:val="00E13847"/>
    <w:rsid w:val="00E23989"/>
    <w:rsid w:val="00E31F6A"/>
    <w:rsid w:val="00E41780"/>
    <w:rsid w:val="00E61D9F"/>
    <w:rsid w:val="00E7015C"/>
    <w:rsid w:val="00E70F0C"/>
    <w:rsid w:val="00E806B1"/>
    <w:rsid w:val="00E85A61"/>
    <w:rsid w:val="00EA0E3B"/>
    <w:rsid w:val="00EA3906"/>
    <w:rsid w:val="00EB4E41"/>
    <w:rsid w:val="00ED167C"/>
    <w:rsid w:val="00ED65C8"/>
    <w:rsid w:val="00ED7F5B"/>
    <w:rsid w:val="00EE76DF"/>
    <w:rsid w:val="00EF3377"/>
    <w:rsid w:val="00F05D70"/>
    <w:rsid w:val="00F135F5"/>
    <w:rsid w:val="00F47833"/>
    <w:rsid w:val="00F52715"/>
    <w:rsid w:val="00F55692"/>
    <w:rsid w:val="00F57905"/>
    <w:rsid w:val="00F74F1B"/>
    <w:rsid w:val="00F763FC"/>
    <w:rsid w:val="00F85853"/>
    <w:rsid w:val="00F905F8"/>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10FF827-56E6-4E82-9398-EC74CD5FB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3388</TotalTime>
  <Pages>26</Pages>
  <Words>6062</Words>
  <Characters>33346</Characters>
  <Application>Microsoft Office Word</Application>
  <DocSecurity>0</DocSecurity>
  <Lines>277</Lines>
  <Paragraphs>78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39330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177</cp:revision>
  <cp:lastPrinted>2014-05-21T09:19:00Z</cp:lastPrinted>
  <dcterms:created xsi:type="dcterms:W3CDTF">2014-05-15T10:22:00Z</dcterms:created>
  <dcterms:modified xsi:type="dcterms:W3CDTF">2014-11-10T22:24:00Z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