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800"/>
      </w:pPr>
      <w:r>
        <w:t xml:space="preserve"/>
      </w:r>
    </w:p>
    <w:p>
      <w:pPr>
        <w:spacing w:after="120" w:before="0"/>
        <w:jc w:val="center"/>
      </w:pPr>
      <w:r>
        <w:rPr>
          <w:rFonts w:ascii="Arial" w:cs="Arial" w:eastAsia="Arial" w:hAnsi="Arial"/>
          <w:b/>
          <w:bCs/>
          <w:color w:val="1A5C38"/>
          <w:sz w:val="64"/>
          <w:szCs w:val="64"/>
        </w:rPr>
        <w:t xml:space="preserve">SustainGate</w:t>
      </w:r>
    </w:p>
    <w:p>
      <w:pPr>
        <w:spacing w:after="60" w:before="0"/>
        <w:jc w:val="center"/>
      </w:pPr>
      <w:r>
        <w:rPr>
          <w:rFonts w:ascii="Arial" w:cs="Arial" w:eastAsia="Arial" w:hAnsi="Arial"/>
          <w:color w:val="2E8B57"/>
          <w:sz w:val="28"/>
          <w:szCs w:val="28"/>
        </w:rPr>
        <w:t xml:space="preserve">AI-Powered Sustainability Governance for SMEs</w:t>
      </w:r>
    </w:p>
    <w:p>
      <w:pPr>
        <w:pBdr>
          <w:bottom w:val="single" w:color="2E8B57" w:sz="6"/>
        </w:pBdr>
        <w:spacing w:after="80" w:before="200"/>
        <w:jc w:val="center"/>
      </w:pPr>
      <w:r>
        <w:t xml:space="preserve"/>
      </w:r>
    </w:p>
    <w:p>
      <w:pPr>
        <w:spacing w:after="80" w:before="240"/>
        <w:jc w:val="center"/>
      </w:pPr>
      <w:r>
        <w:rPr>
          <w:rFonts w:ascii="Arial" w:cs="Arial" w:eastAsia="Arial" w:hAnsi="Arial"/>
          <w:b/>
          <w:bCs/>
          <w:color w:val="2C2C2C"/>
          <w:sz w:val="36"/>
          <w:szCs w:val="36"/>
        </w:rPr>
        <w:t xml:space="preserve">Pilot Programme Proposal</w:t>
      </w:r>
    </w:p>
    <w:p>
      <w:pPr>
        <w:spacing w:after="40" w:before="400"/>
        <w:jc w:val="center"/>
      </w:pPr>
      <w:r>
        <w:rPr>
          <w:rFonts w:ascii="Arial" w:cs="Arial" w:eastAsia="Arial" w:hAnsi="Arial"/>
          <w:color w:val="555555"/>
          <w:sz w:val="22"/>
          <w:szCs w:val="22"/>
        </w:rPr>
        <w:t xml:space="preserve">Prepared for: [Client Name]</w:t>
      </w:r>
    </w:p>
    <w:p>
      <w:pPr>
        <w:spacing w:after="40" w:before="0"/>
        <w:jc w:val="center"/>
      </w:pPr>
      <w:r>
        <w:rPr>
          <w:rFonts w:ascii="Arial" w:cs="Arial" w:eastAsia="Arial" w:hAnsi="Arial"/>
          <w:color w:val="555555"/>
          <w:sz w:val="22"/>
          <w:szCs w:val="22"/>
        </w:rPr>
        <w:t xml:space="preserve">Prepared by: SustainZone</w:t>
      </w:r>
    </w:p>
    <w:p>
      <w:pPr>
        <w:spacing w:after="40" w:before="0"/>
        <w:jc w:val="center"/>
      </w:pPr>
      <w:r>
        <w:rPr>
          <w:rFonts w:ascii="Arial" w:cs="Arial" w:eastAsia="Arial" w:hAnsi="Arial"/>
          <w:color w:val="555555"/>
          <w:sz w:val="22"/>
          <w:szCs w:val="22"/>
        </w:rPr>
        <w:t xml:space="preserve">Date: March 2026  |  Version: 2.1</w:t>
      </w:r>
    </w:p>
    <w:p>
      <w:pPr>
        <w:spacing w:after="0" w:before="200"/>
        <w:jc w:val="center"/>
      </w:pPr>
      <w:r>
        <w:rPr>
          <w:rFonts w:ascii="Arial" w:cs="Arial" w:eastAsia="Arial" w:hAnsi="Arial"/>
          <w:b/>
          <w:bCs/>
          <w:color w:val="2E8B57"/>
          <w:sz w:val="20"/>
          <w:szCs w:val="20"/>
        </w:rPr>
        <w:t xml:space="preserve">CONFIDENTIAL</w:t>
      </w:r>
    </w:p>
    <w:p>
      <w:r>
        <w:br w:type="page"/>
      </w:r>
    </w:p>
    <w:p>
      <w:pPr>
        <w:pStyle w:val="Heading1"/>
        <w:pBdr>
          <w:bottom w:val="single" w:color="2E8B57" w:sz="4" w:space="4"/>
        </w:pBdr>
        <w:spacing w:after="120" w:before="320"/>
      </w:pPr>
      <w:r>
        <w:rPr>
          <w:rFonts w:ascii="Arial" w:cs="Arial" w:eastAsia="Arial" w:hAnsi="Arial"/>
          <w:b/>
          <w:bCs/>
          <w:color w:val="1A5C38"/>
          <w:sz w:val="28"/>
          <w:szCs w:val="28"/>
        </w:rPr>
        <w:t xml:space="preserve">1. Executive Summary</w:t>
      </w:r>
    </w:p>
    <w:p>
      <w:pPr>
        <w:spacing w:after="80" w:before="80"/>
        <w:jc w:val="left"/>
      </w:pPr>
      <w:r>
        <w:rPr>
          <w:rFonts w:ascii="Arial" w:cs="Arial" w:eastAsia="Arial" w:hAnsi="Arial"/>
          <w:b w:val="false"/>
          <w:bCs w:val="false"/>
          <w:color w:val="2C2C2C"/>
          <w:sz w:val="22"/>
          <w:szCs w:val="22"/>
        </w:rPr>
        <w:t xml:space="preserve">SustainGate is an AI-powered sustainability governance platform designed specifically for small and medium-sized enterprises (SMEs). It guides businesses through a structured five-gate journey — from initial carbon footprint assessment to fully compliant reporting — with dedicated AI agents that actively do the work at each stage.</w:t>
      </w:r>
    </w:p>
    <w:p>
      <w:pPr>
        <w:spacing w:after="80" w:before="80"/>
        <w:jc w:val="left"/>
      </w:pPr>
      <w:r>
        <w:rPr>
          <w:rFonts w:ascii="Arial" w:cs="Arial" w:eastAsia="Arial" w:hAnsi="Arial"/>
          <w:b w:val="false"/>
          <w:bCs w:val="false"/>
          <w:color w:val="2C2C2C"/>
          <w:sz w:val="22"/>
          <w:szCs w:val="22"/>
        </w:rPr>
        <w:t xml:space="preserve"/>
      </w:r>
    </w:p>
    <w:p>
      <w:pPr>
        <w:spacing w:after="80" w:before="80"/>
        <w:jc w:val="left"/>
      </w:pPr>
      <w:r>
        <w:rPr>
          <w:rFonts w:ascii="Arial" w:cs="Arial" w:eastAsia="Arial" w:hAnsi="Arial"/>
          <w:b w:val="false"/>
          <w:bCs w:val="false"/>
          <w:color w:val="2C2C2C"/>
          <w:sz w:val="22"/>
          <w:szCs w:val="22"/>
        </w:rPr>
        <w:t xml:space="preserve">The UK's sustainability compliance landscape has reached an inflection point. The UK Sustainability Reporting Standards (UK SRS S1 and S2) were formally published on 25 February 2026 — marking the beginning of a mandatory disclosure era for listed companies from January 2027, with direct Scope 3 data requests cascading through supply chains to every SME that supplies them. Simultaneously, NHS Evergreen Level 1 becomes a condition of all NHS tenders from April 2026, and PPN 006 continues to gate access to £434 billion of public procurement.</w:t>
      </w:r>
    </w:p>
    <w:p>
      <w:pPr>
        <w:spacing w:after="80" w:before="80"/>
        <w:jc w:val="left"/>
      </w:pPr>
      <w:r>
        <w:rPr>
          <w:rFonts w:ascii="Arial" w:cs="Arial" w:eastAsia="Arial" w:hAnsi="Arial"/>
          <w:b w:val="false"/>
          <w:bCs w:val="false"/>
          <w:color w:val="2C2C2C"/>
          <w:sz w:val="22"/>
          <w:szCs w:val="22"/>
        </w:rPr>
        <w:t xml:space="preserve"/>
      </w:r>
    </w:p>
    <w:p>
      <w:pPr>
        <w:spacing w:after="80" w:before="80"/>
        <w:jc w:val="left"/>
      </w:pPr>
      <w:r>
        <w:rPr>
          <w:rFonts w:ascii="Arial" w:cs="Arial" w:eastAsia="Arial" w:hAnsi="Arial"/>
          <w:b w:val="false"/>
          <w:bCs w:val="false"/>
          <w:color w:val="2C2C2C"/>
          <w:sz w:val="22"/>
          <w:szCs w:val="22"/>
        </w:rPr>
        <w:t xml:space="preserve">Yet 85% of UK SMEs have still not measured their carbon footprint. The gap between regulatory demand and SME readiness has never been wider — or more commercially consequential.</w:t>
      </w:r>
    </w:p>
    <w:p>
      <w:pPr>
        <w:spacing w:after="80" w:before="80"/>
        <w:jc w:val="left"/>
      </w:pPr>
      <w:r>
        <w:rPr>
          <w:rFonts w:ascii="Arial" w:cs="Arial" w:eastAsia="Arial" w:hAnsi="Arial"/>
          <w:b w:val="false"/>
          <w:bCs w:val="false"/>
          <w:color w:val="2C2C2C"/>
          <w:sz w:val="22"/>
          <w:szCs w:val="22"/>
        </w:rPr>
        <w:t xml:space="preserve"/>
      </w:r>
    </w:p>
    <w:p>
      <w:pPr>
        <w:spacing w:after="80" w:before="80"/>
        <w:jc w:val="left"/>
      </w:pPr>
      <w:r>
        <w:rPr>
          <w:rFonts w:ascii="Arial" w:cs="Arial" w:eastAsia="Arial" w:hAnsi="Arial"/>
          <w:b w:val="false"/>
          <w:bCs w:val="false"/>
          <w:color w:val="2C2C2C"/>
          <w:sz w:val="22"/>
          <w:szCs w:val="22"/>
        </w:rPr>
        <w:t xml:space="preserve">SustainGate closes that gap. Unlike traditional consultancy or manual spreadsheet approaches, SustainGate uses agentic AI that connects directly to your existing business systems, extracts and processes data automatically, and produces compliance-ready outputs — governed by UK SRS, GHG Protocol, PPN 006, SBTi, and NHS Evergreen rules before any output is released.</w:t>
      </w:r>
    </w:p>
    <w:p>
      <w:pPr>
        <w:spacing w:after="80" w:before="80"/>
        <w:jc w:val="left"/>
      </w:pPr>
      <w:r>
        <w:rPr>
          <w:rFonts w:ascii="Arial" w:cs="Arial" w:eastAsia="Arial" w:hAnsi="Arial"/>
          <w:b w:val="false"/>
          <w:bCs w:val="false"/>
          <w:color w:val="2C2C2C"/>
          <w:sz w:val="22"/>
          <w:szCs w:val="22"/>
        </w:rPr>
        <w:t xml:space="preserve"/>
      </w:r>
    </w:p>
    <w:p>
      <w:pPr>
        <w:spacing w:after="80" w:before="80"/>
        <w:jc w:val="left"/>
      </w:pPr>
      <w:r>
        <w:rPr>
          <w:rFonts w:ascii="Arial" w:cs="Arial" w:eastAsia="Arial" w:hAnsi="Arial"/>
          <w:b w:val="false"/>
          <w:bCs w:val="false"/>
          <w:color w:val="2C2C2C"/>
          <w:sz w:val="22"/>
          <w:szCs w:val="22"/>
        </w:rPr>
        <w:t xml:space="preserve">This proposal outlines a 12-week pilot programme to deliver your GHG baseline, Carbon Reduction Plan, and live compliance dashboard — giving your business the foundation to meet today's requirements and stay ahead of tomorrow's.</w:t>
      </w:r>
    </w:p>
    <w:p>
      <w:pPr>
        <w:spacing w:after="80" w:before="80"/>
        <w:jc w:val="left"/>
      </w:pPr>
      <w:r>
        <w:rPr>
          <w:rFonts w:ascii="Arial" w:cs="Arial" w:eastAsia="Arial" w:hAnsi="Arial"/>
          <w:b w:val="false"/>
          <w:bCs w:val="false"/>
          <w:color w:val="2C2C2C"/>
          <w:sz w:val="22"/>
          <w:szCs w:val="22"/>
        </w:rPr>
        <w:t xml:space="preserve"/>
      </w:r>
    </w:p>
    <w:p>
      <w:r>
        <w:br w:type="page"/>
      </w:r>
    </w:p>
    <w:p>
      <w:pPr>
        <w:pStyle w:val="Heading1"/>
        <w:pBdr>
          <w:bottom w:val="single" w:color="2E8B57" w:sz="4" w:space="4"/>
        </w:pBdr>
        <w:spacing w:after="120" w:before="320"/>
      </w:pPr>
      <w:r>
        <w:rPr>
          <w:rFonts w:ascii="Arial" w:cs="Arial" w:eastAsia="Arial" w:hAnsi="Arial"/>
          <w:b/>
          <w:bCs/>
          <w:color w:val="1A5C38"/>
          <w:sz w:val="28"/>
          <w:szCs w:val="28"/>
        </w:rPr>
        <w:t xml:space="preserve">2. The Challenge</w:t>
      </w:r>
    </w:p>
    <w:p>
      <w:pPr>
        <w:pStyle w:val="Heading2"/>
        <w:spacing w:after="80" w:before="200"/>
      </w:pPr>
      <w:r>
        <w:rPr>
          <w:rFonts w:ascii="Arial" w:cs="Arial" w:eastAsia="Arial" w:hAnsi="Arial"/>
          <w:b/>
          <w:bCs/>
          <w:color w:val="2E8B57"/>
          <w:sz w:val="24"/>
          <w:szCs w:val="24"/>
        </w:rPr>
        <w:t xml:space="preserve">The Regulatory Landscape Is Tightening Rapidly</w:t>
      </w:r>
    </w:p>
    <w:p>
      <w:pPr>
        <w:spacing w:after="80" w:before="80"/>
        <w:jc w:val="left"/>
      </w:pPr>
      <w:r>
        <w:rPr>
          <w:rFonts w:ascii="Arial" w:cs="Arial" w:eastAsia="Arial" w:hAnsi="Arial"/>
          <w:b w:val="false"/>
          <w:bCs w:val="false"/>
          <w:color w:val="2C2C2C"/>
          <w:sz w:val="22"/>
          <w:szCs w:val="22"/>
        </w:rPr>
        <w:t xml:space="preserve">The UK's sustainability compliance architecture has undergone its most significant expansion in a generation. Three converging pressures now make action unavoidable for UK SMEs:</w:t>
      </w:r>
    </w:p>
    <w:p>
      <w:pPr>
        <w:spacing w:after="80" w:before="80"/>
        <w:jc w:val="left"/>
      </w:pPr>
      <w:r>
        <w:rPr>
          <w:rFonts w:ascii="Arial" w:cs="Arial" w:eastAsia="Arial" w:hAnsi="Arial"/>
          <w:b w:val="false"/>
          <w:bCs w:val="false"/>
          <w:color w:val="2C2C2C"/>
          <w:sz w:val="22"/>
          <w:szCs w:val="22"/>
        </w:rPr>
        <w:t xml:space="preserve"/>
      </w:r>
    </w:p>
    <w:p>
      <w:pPr>
        <w:pStyle w:val="Heading2"/>
        <w:spacing w:after="80" w:before="200"/>
      </w:pPr>
      <w:r>
        <w:rPr>
          <w:rFonts w:ascii="Arial" w:cs="Arial" w:eastAsia="Arial" w:hAnsi="Arial"/>
          <w:b/>
          <w:bCs/>
          <w:color w:val="2E8B57"/>
          <w:sz w:val="24"/>
          <w:szCs w:val="24"/>
        </w:rPr>
        <w:t xml:space="preserve">2.1  UK Sustainability Reporting Standards (UK SRS)</w:t>
      </w:r>
    </w:p>
    <w:p>
      <w:pPr>
        <w:spacing w:after="80" w:before="80"/>
        <w:jc w:val="left"/>
      </w:pPr>
      <w:r>
        <w:rPr>
          <w:rFonts w:ascii="Arial" w:cs="Arial" w:eastAsia="Arial" w:hAnsi="Arial"/>
          <w:b w:val="false"/>
          <w:bCs w:val="false"/>
          <w:color w:val="2C2C2C"/>
          <w:sz w:val="22"/>
          <w:szCs w:val="22"/>
        </w:rPr>
        <w:t xml:space="preserve">Published 25 February 2026, UK SRS S1 and S2 are the UK government's endorsed versions of the ISSB's global baseline standards, adapted for the UK market. While mandatory reporting initially applies to listed companies from January 2027, the Scope 3 emission disclosure requirements create an immediate and direct compliance burden on SME supply chains.</w:t>
      </w:r>
    </w:p>
    <w:p>
      <w:pPr>
        <w:spacing w:after="80" w:before="80"/>
        <w:jc w:val="left"/>
      </w:pPr>
      <w:r>
        <w:rPr>
          <w:rFonts w:ascii="Arial" w:cs="Arial" w:eastAsia="Arial" w:hAnsi="Arial"/>
          <w:b w:val="false"/>
          <w:bCs w:val="false"/>
          <w:color w:val="2C2C2C"/>
          <w:sz w:val="22"/>
          <w:szCs w:val="22"/>
        </w:rPr>
        <w:t xml:space="preserve"/>
      </w:r>
    </w:p>
    <w:p>
      <w:pPr>
        <w:spacing w:after="80" w:before="80"/>
        <w:jc w:val="left"/>
      </w:pPr>
      <w:r>
        <w:rPr>
          <w:rFonts w:ascii="Arial" w:cs="Arial" w:eastAsia="Arial" w:hAnsi="Arial"/>
          <w:b w:val="false"/>
          <w:bCs w:val="false"/>
          <w:color w:val="2C2C2C"/>
          <w:sz w:val="22"/>
          <w:szCs w:val="22"/>
        </w:rPr>
        <w:t xml:space="preserve">Under UK SRS S2, in-scope companies must report Scope 3 emissions across all 15 GHG Protocol categories — meaning their suppliers' emissions. Since Scope 3 typically represents 70–90% of a company's total footprint, large companies will systematically require structured emissions data from every SME in their supply chain. This is not a future risk — CDP's Supply Chain programme already channels Scope 3 data requests to over 45,000 suppliers annually from 270+ corporate buyers.</w:t>
      </w:r>
    </w:p>
    <w:p>
      <w:pPr>
        <w:spacing w:after="80" w:before="80"/>
        <w:jc w:val="left"/>
      </w:pPr>
      <w:r>
        <w:rPr>
          <w:rFonts w:ascii="Arial" w:cs="Arial" w:eastAsia="Arial" w:hAnsi="Arial"/>
          <w:b w:val="false"/>
          <w:bCs w:val="false"/>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UK SRS Timeline</w:t>
            </w:r>
          </w:p>
        </w:tc>
        <w:tc>
          <w:tcPr>
            <w:tcW w:type="dxa" w:w="358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Milestone</w:t>
            </w:r>
          </w:p>
        </w:tc>
        <w:tc>
          <w:tcPr>
            <w:tcW w:type="dxa" w:w="358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SME 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25 Feb 2026</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UK SRS S1 &amp; S2 published for voluntary use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Early adopters gain competitive advantage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1 Jan 2027</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Mandatory UK SRS for ~515 listed companies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Scope 3 data requests cascade to SME suppliers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1 Jan 2028</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Scope 3 comply-or-explain for listed companies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Intensified, structured supplier data demands</w:t>
            </w:r>
          </w:p>
        </w:tc>
      </w:tr>
    </w:tbl>
    <w:p>
      <w:pPr>
        <w:spacing w:after="80" w:before="80"/>
        <w:jc w:val="left"/>
      </w:pPr>
      <w:r>
        <w:rPr>
          <w:rFonts w:ascii="Arial" w:cs="Arial" w:eastAsia="Arial" w:hAnsi="Arial"/>
          <w:b w:val="false"/>
          <w:bCs w:val="false"/>
          <w:color w:val="2C2C2C"/>
          <w:sz w:val="22"/>
          <w:szCs w:val="22"/>
        </w:rPr>
        <w:t xml:space="preserve"/>
      </w:r>
    </w:p>
    <w:p>
      <w:pPr>
        <w:pStyle w:val="Heading2"/>
        <w:spacing w:after="80" w:before="200"/>
      </w:pPr>
      <w:r>
        <w:rPr>
          <w:rFonts w:ascii="Arial" w:cs="Arial" w:eastAsia="Arial" w:hAnsi="Arial"/>
          <w:b/>
          <w:bCs/>
          <w:color w:val="2E8B57"/>
          <w:sz w:val="24"/>
          <w:szCs w:val="24"/>
        </w:rPr>
        <w:t xml:space="preserve">2.2  Net Zero: The UK's Legally Binding Commitment</w:t>
      </w:r>
    </w:p>
    <w:p>
      <w:pPr>
        <w:spacing w:after="80" w:before="80"/>
        <w:jc w:val="left"/>
      </w:pPr>
      <w:r>
        <w:rPr>
          <w:rFonts w:ascii="Arial" w:cs="Arial" w:eastAsia="Arial" w:hAnsi="Arial"/>
          <w:b w:val="false"/>
          <w:bCs w:val="false"/>
          <w:color w:val="2C2C2C"/>
          <w:sz w:val="22"/>
          <w:szCs w:val="22"/>
        </w:rPr>
        <w:t xml:space="preserve">The UK is legally committed to achieving net zero greenhouse gas emissions by 2050 under the Climate Change Act 2008 (amended 2019). The UK's updated NDC (January 2025) commits to an 81% reduction by 2035 versus 1990 levels — the most ambitious target of any major economy. The Climate Change Committee's recommended Seventh Carbon Budget (2038–2042) represents an 87% reduction from 1990 levels; the government must legislate this by June 2026.</w:t>
      </w:r>
    </w:p>
    <w:p>
      <w:pPr>
        <w:spacing w:after="80" w:before="80"/>
        <w:jc w:val="left"/>
      </w:pPr>
      <w:r>
        <w:rPr>
          <w:rFonts w:ascii="Arial" w:cs="Arial" w:eastAsia="Arial" w:hAnsi="Arial"/>
          <w:b w:val="false"/>
          <w:bCs w:val="false"/>
          <w:color w:val="2C2C2C"/>
          <w:sz w:val="22"/>
          <w:szCs w:val="22"/>
        </w:rPr>
        <w:t xml:space="preserve"/>
      </w:r>
    </w:p>
    <w:p>
      <w:pPr>
        <w:spacing w:after="80" w:before="80"/>
        <w:jc w:val="left"/>
      </w:pPr>
      <w:r>
        <w:rPr>
          <w:rFonts w:ascii="Arial" w:cs="Arial" w:eastAsia="Arial" w:hAnsi="Arial"/>
          <w:b w:val="false"/>
          <w:bCs w:val="false"/>
          <w:color w:val="2C2C2C"/>
          <w:sz w:val="22"/>
          <w:szCs w:val="22"/>
        </w:rPr>
        <w:t xml:space="preserve">This national ambition cascades directly into procurement policy and supply chain requirements that affect SMEs today.</w:t>
      </w:r>
    </w:p>
    <w:p>
      <w:pPr>
        <w:spacing w:after="80" w:before="80"/>
        <w:jc w:val="left"/>
      </w:pPr>
      <w:r>
        <w:rPr>
          <w:rFonts w:ascii="Arial" w:cs="Arial" w:eastAsia="Arial" w:hAnsi="Arial"/>
          <w:b w:val="false"/>
          <w:bCs w:val="false"/>
          <w:color w:val="2C2C2C"/>
          <w:sz w:val="22"/>
          <w:szCs w:val="22"/>
        </w:rPr>
        <w:t xml:space="preserve"/>
      </w:r>
    </w:p>
    <w:p>
      <w:pPr>
        <w:pStyle w:val="Heading2"/>
        <w:spacing w:after="80" w:before="200"/>
      </w:pPr>
      <w:r>
        <w:rPr>
          <w:rFonts w:ascii="Arial" w:cs="Arial" w:eastAsia="Arial" w:hAnsi="Arial"/>
          <w:b/>
          <w:bCs/>
          <w:color w:val="2E8B57"/>
          <w:sz w:val="24"/>
          <w:szCs w:val="24"/>
        </w:rPr>
        <w:t xml:space="preserve">2.3  PPN 006: Carbon Reduction Plans in Government Procurement</w:t>
      </w:r>
    </w:p>
    <w:p>
      <w:pPr>
        <w:spacing w:after="80" w:before="80"/>
        <w:jc w:val="left"/>
      </w:pPr>
      <w:r>
        <w:rPr>
          <w:rFonts w:ascii="Arial" w:cs="Arial" w:eastAsia="Arial" w:hAnsi="Arial"/>
          <w:b w:val="false"/>
          <w:bCs w:val="false"/>
          <w:color w:val="2C2C2C"/>
          <w:sz w:val="22"/>
          <w:szCs w:val="22"/>
        </w:rPr>
        <w:t xml:space="preserve">Procurement Policy Note 006 (successor to PPN 06/21 under the Procurement Act 2023, effective 24 February 2025) requires all suppliers bidding for central government contracts above £5 million per year to publish a Carbon Reduction Plan committing to net zero by 2050 — including Scope 1, 2, and relevant Scope 3 emissions. This is a pass/fail selection criterion. Without a compliant CRP, suppliers cannot proceed, regardless of price or capability.</w:t>
      </w:r>
    </w:p>
    <w:p>
      <w:pPr>
        <w:spacing w:after="80" w:before="80"/>
        <w:jc w:val="left"/>
      </w:pPr>
      <w:r>
        <w:rPr>
          <w:rFonts w:ascii="Arial" w:cs="Arial" w:eastAsia="Arial" w:hAnsi="Arial"/>
          <w:b w:val="false"/>
          <w:bCs w:val="false"/>
          <w:color w:val="2C2C2C"/>
          <w:sz w:val="22"/>
          <w:szCs w:val="22"/>
        </w:rPr>
        <w:t xml:space="preserve"/>
      </w:r>
    </w:p>
    <w:p>
      <w:pPr>
        <w:spacing w:after="80" w:before="80"/>
        <w:jc w:val="left"/>
      </w:pPr>
      <w:r>
        <w:rPr>
          <w:rFonts w:ascii="Arial" w:cs="Arial" w:eastAsia="Arial" w:hAnsi="Arial"/>
          <w:b w:val="false"/>
          <w:bCs w:val="false"/>
          <w:color w:val="2C2C2C"/>
          <w:sz w:val="22"/>
          <w:szCs w:val="22"/>
        </w:rPr>
        <w:t xml:space="preserve">NHS England extends this requirement further: a CRP is mandatory for all NHS procurement regardless of contract value — the only supply chain in the UK to do so.</w:t>
      </w:r>
    </w:p>
    <w:p>
      <w:pPr>
        <w:spacing w:after="80" w:before="80"/>
        <w:jc w:val="left"/>
      </w:pPr>
      <w:r>
        <w:rPr>
          <w:rFonts w:ascii="Arial" w:cs="Arial" w:eastAsia="Arial" w:hAnsi="Arial"/>
          <w:b w:val="false"/>
          <w:bCs w:val="false"/>
          <w:color w:val="2C2C2C"/>
          <w:sz w:val="22"/>
          <w:szCs w:val="22"/>
        </w:rPr>
        <w:t xml:space="preserve"/>
      </w:r>
    </w:p>
    <w:p>
      <w:pPr>
        <w:pStyle w:val="Heading2"/>
        <w:spacing w:after="80" w:before="200"/>
      </w:pPr>
      <w:r>
        <w:rPr>
          <w:rFonts w:ascii="Arial" w:cs="Arial" w:eastAsia="Arial" w:hAnsi="Arial"/>
          <w:b/>
          <w:bCs/>
          <w:color w:val="2E8B57"/>
          <w:sz w:val="24"/>
          <w:szCs w:val="24"/>
        </w:rPr>
        <w:t xml:space="preserve">2.4  NHS Net Zero Supplier Roadmap</w:t>
      </w:r>
    </w:p>
    <w:p>
      <w:pPr>
        <w:spacing w:after="80" w:before="80"/>
        <w:jc w:val="left"/>
      </w:pPr>
      <w:r>
        <w:rPr>
          <w:rFonts w:ascii="Arial" w:cs="Arial" w:eastAsia="Arial" w:hAnsi="Arial"/>
          <w:b w:val="false"/>
          <w:bCs w:val="false"/>
          <w:color w:val="2C2C2C"/>
          <w:sz w:val="22"/>
          <w:szCs w:val="22"/>
        </w:rPr>
        <w:t xml:space="preserve">The NHS targets net zero for direct emissions by 2040 and its full supply chain (NHS Carbon Footprint Plus) by 2045. Approximately 60–70% of NHS emissions arise from its supply chain of ~80,000 suppliers. The escalating NHS Supplier Roadmap creates mandatory milestones that SME suppliers must meet to retain NHS contracts:</w:t>
      </w:r>
    </w:p>
    <w:p>
      <w:pPr>
        <w:spacing w:after="80" w:before="80"/>
        <w:jc w:val="left"/>
      </w:pPr>
      <w:r>
        <w:rPr>
          <w:rFonts w:ascii="Arial" w:cs="Arial" w:eastAsia="Arial" w:hAnsi="Arial"/>
          <w:b w:val="false"/>
          <w:bCs w:val="false"/>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Deadline</w:t>
            </w:r>
          </w:p>
        </w:tc>
        <w:tc>
          <w:tcPr>
            <w:tcW w:type="dxa" w:w="75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NHS Requirement</w:t>
            </w:r>
          </w:p>
        </w:tc>
      </w:tr>
      <w:tr>
        <w:tc>
          <w:tcPr>
            <w:tcW w:type="dxa" w:w="18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bCs/>
                <w:color w:val="1A5C38"/>
                <w:sz w:val="19"/>
                <w:szCs w:val="19"/>
              </w:rPr>
              <w:t xml:space="preserve">April 2026</w:t>
            </w:r>
          </w:p>
        </w:tc>
        <w:tc>
          <w:tcPr>
            <w:tcW w:type="dxa" w:w="756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Evergreen Level 1 required for all new NHS tenders: net zero commitment, compliant CRP, Scope 1/2/3 reporting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April 2027</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All suppliers must publish CRP for global emissions across all Scope 1, 2, and 3 categories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April 2028</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Product-level carbon footprinting required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2030</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Suppliers without demonstrated progress cannot qualify for NHS contracts</w:t>
            </w:r>
          </w:p>
        </w:tc>
      </w:tr>
    </w:tbl>
    <w:p>
      <w:pPr>
        <w:spacing w:after="80" w:before="80"/>
        <w:jc w:val="left"/>
      </w:pPr>
      <w:r>
        <w:rPr>
          <w:rFonts w:ascii="Arial" w:cs="Arial" w:eastAsia="Arial" w:hAnsi="Arial"/>
          <w:b w:val="false"/>
          <w:bCs w:val="false"/>
          <w:color w:val="2C2C2C"/>
          <w:sz w:val="22"/>
          <w:szCs w:val="22"/>
        </w:rPr>
        <w:t xml:space="preserve"/>
      </w:r>
    </w:p>
    <w:p>
      <w:pPr>
        <w:pStyle w:val="Heading2"/>
        <w:spacing w:after="80" w:before="200"/>
      </w:pPr>
      <w:r>
        <w:rPr>
          <w:rFonts w:ascii="Arial" w:cs="Arial" w:eastAsia="Arial" w:hAnsi="Arial"/>
          <w:b/>
          <w:bCs/>
          <w:color w:val="2E8B57"/>
          <w:sz w:val="24"/>
          <w:szCs w:val="24"/>
        </w:rPr>
        <w:t xml:space="preserve">2.5  SBTi: Science-Based Targets for SMEs</w:t>
      </w:r>
    </w:p>
    <w:p>
      <w:pPr>
        <w:spacing w:after="80" w:before="80"/>
        <w:jc w:val="left"/>
      </w:pPr>
      <w:r>
        <w:rPr>
          <w:rFonts w:ascii="Arial" w:cs="Arial" w:eastAsia="Arial" w:hAnsi="Arial"/>
          <w:b w:val="false"/>
          <w:bCs w:val="false"/>
          <w:color w:val="2C2C2C"/>
          <w:sz w:val="22"/>
          <w:szCs w:val="22"/>
        </w:rPr>
        <w:t xml:space="preserve">The Science Based Targets initiative (SBTi) offers a streamlined SME pathway for companies with fewer than 500 employees and under €50 million revenue. Validation requires a commitment letter rather than the full corporate process, with a validation fee of £1,250. Over 6,000 SMEs have committed globally. SBTi validation signals credible net zero ambition to procurement teams, investors, and supply chain partners — and is increasingly cited in tender evaluation criteria.</w:t>
      </w:r>
    </w:p>
    <w:p>
      <w:pPr>
        <w:spacing w:after="80" w:before="80"/>
        <w:jc w:val="left"/>
      </w:pPr>
      <w:r>
        <w:rPr>
          <w:rFonts w:ascii="Arial" w:cs="Arial" w:eastAsia="Arial" w:hAnsi="Arial"/>
          <w:b w:val="false"/>
          <w:bCs w:val="false"/>
          <w:color w:val="2C2C2C"/>
          <w:sz w:val="22"/>
          <w:szCs w:val="22"/>
        </w:rPr>
        <w:t xml:space="preserve"/>
      </w:r>
    </w:p>
    <w:p>
      <w:pPr>
        <w:pStyle w:val="Heading2"/>
        <w:spacing w:after="80" w:before="200"/>
      </w:pPr>
      <w:r>
        <w:rPr>
          <w:rFonts w:ascii="Arial" w:cs="Arial" w:eastAsia="Arial" w:hAnsi="Arial"/>
          <w:b/>
          <w:bCs/>
          <w:color w:val="2E8B57"/>
          <w:sz w:val="24"/>
          <w:szCs w:val="24"/>
        </w:rPr>
        <w:t xml:space="preserve">2.6  The SME Burden — and the Opportunity</w:t>
      </w:r>
    </w:p>
    <w:p>
      <w:pPr>
        <w:spacing w:after="80" w:before="80"/>
        <w:jc w:val="left"/>
      </w:pPr>
      <w:r>
        <w:rPr>
          <w:rFonts w:ascii="Arial" w:cs="Arial" w:eastAsia="Arial" w:hAnsi="Arial"/>
          <w:b w:val="false"/>
          <w:bCs w:val="false"/>
          <w:color w:val="2C2C2C"/>
          <w:sz w:val="22"/>
          <w:szCs w:val="22"/>
        </w:rPr>
        <w:t xml:space="preserve">Despite this regulatory acceleration, the data reveals a striking readiness gap:</w:t>
      </w:r>
    </w:p>
    <w:p>
      <w:pPr>
        <w:spacing w:after="80" w:before="80"/>
        <w:jc w:val="left"/>
      </w:pPr>
      <w:r>
        <w:rPr>
          <w:rFonts w:ascii="Arial" w:cs="Arial" w:eastAsia="Arial" w:hAnsi="Arial"/>
          <w:b w:val="false"/>
          <w:bCs w:val="false"/>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The Problem</w:t>
            </w:r>
          </w:p>
        </w:tc>
        <w:tc>
          <w:tcPr>
            <w:tcW w:type="dxa" w:w="468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The Opportunity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before="20"/>
              <w:jc w:val="left"/>
            </w:pPr>
            <w:r>
              <w:rPr>
                <w:rFonts w:ascii="Arial" w:cs="Arial" w:eastAsia="Arial" w:hAnsi="Arial"/>
                <w:b w:val="false"/>
                <w:bCs w:val="false"/>
                <w:color w:val="2C2C2C"/>
                <w:sz w:val="19"/>
                <w:szCs w:val="19"/>
              </w:rPr>
              <w:t xml:space="preserve">• 85% of UK SMEs have not measured their carbon footprint</w:t>
            </w:r>
          </w:p>
          <w:p>
            <w:pPr>
              <w:spacing w:after="20" w:before="20"/>
              <w:jc w:val="left"/>
            </w:pPr>
            <w:r>
              <w:rPr>
                <w:rFonts w:ascii="Arial" w:cs="Arial" w:eastAsia="Arial" w:hAnsi="Arial"/>
                <w:b w:val="false"/>
                <w:bCs w:val="false"/>
                <w:color w:val="2C2C2C"/>
                <w:sz w:val="19"/>
                <w:szCs w:val="19"/>
              </w:rPr>
              <w:t xml:space="preserve">• Only 25% expect to be net zero-ready by 2050</w:t>
            </w:r>
          </w:p>
          <w:p>
            <w:pPr>
              <w:spacing w:after="20" w:before="20"/>
              <w:jc w:val="left"/>
            </w:pPr>
            <w:r>
              <w:rPr>
                <w:rFonts w:ascii="Arial" w:cs="Arial" w:eastAsia="Arial" w:hAnsi="Arial"/>
                <w:b w:val="false"/>
                <w:bCs w:val="false"/>
                <w:color w:val="2C2C2C"/>
                <w:sz w:val="19"/>
                <w:szCs w:val="19"/>
              </w:rPr>
              <w:t xml:space="preserve">• 83% perceive barriers to net zero progress</w:t>
            </w:r>
          </w:p>
          <w:p>
            <w:pPr>
              <w:spacing w:after="20" w:before="20"/>
              <w:jc w:val="left"/>
            </w:pPr>
            <w:r>
              <w:rPr>
                <w:rFonts w:ascii="Arial" w:cs="Arial" w:eastAsia="Arial" w:hAnsi="Arial"/>
                <w:b w:val="false"/>
                <w:bCs w:val="false"/>
                <w:color w:val="2C2C2C"/>
                <w:sz w:val="19"/>
                <w:szCs w:val="19"/>
              </w:rPr>
              <w:t xml:space="preserve">• Manual compliance costs £500–£1,500/day in consultancy fees</w:t>
            </w:r>
          </w:p>
          <w:p>
            <w:pPr>
              <w:spacing w:after="20" w:before="20"/>
              <w:jc w:val="left"/>
            </w:pPr>
            <w:r>
              <w:rPr>
                <w:rFonts w:ascii="Arial" w:cs="Arial" w:eastAsia="Arial" w:hAnsi="Arial"/>
                <w:b w:val="false"/>
                <w:bCs w:val="false"/>
                <w:color w:val="2C2C2C"/>
                <w:sz w:val="19"/>
                <w:szCs w:val="19"/>
              </w:rPr>
              <w:t xml:space="preserve">• Data sits in disconnected systems with no single emissions view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before="20"/>
              <w:jc w:val="left"/>
            </w:pPr>
            <w:r>
              <w:rPr>
                <w:rFonts w:ascii="Arial" w:cs="Arial" w:eastAsia="Arial" w:hAnsi="Arial"/>
                <w:b w:val="false"/>
                <w:bCs w:val="false"/>
                <w:color w:val="2C2C2C"/>
                <w:sz w:val="19"/>
                <w:szCs w:val="19"/>
              </w:rPr>
              <w:t xml:space="preserve">• The 15% who have measured their footprint face minimal competition</w:t>
            </w:r>
          </w:p>
          <w:p>
            <w:pPr>
              <w:spacing w:after="20" w:before="20"/>
              <w:jc w:val="left"/>
            </w:pPr>
            <w:r>
              <w:rPr>
                <w:rFonts w:ascii="Arial" w:cs="Arial" w:eastAsia="Arial" w:hAnsi="Arial"/>
                <w:b w:val="false"/>
                <w:bCs w:val="false"/>
                <w:color w:val="2C2C2C"/>
                <w:sz w:val="19"/>
                <w:szCs w:val="19"/>
              </w:rPr>
              <w:t xml:space="preserve">• £434bn UK public procurement requires CRP compliance</w:t>
            </w:r>
          </w:p>
          <w:p>
            <w:pPr>
              <w:spacing w:after="20" w:before="20"/>
              <w:jc w:val="left"/>
            </w:pPr>
            <w:r>
              <w:rPr>
                <w:rFonts w:ascii="Arial" w:cs="Arial" w:eastAsia="Arial" w:hAnsi="Arial"/>
                <w:b w:val="false"/>
                <w:bCs w:val="false"/>
                <w:color w:val="2C2C2C"/>
                <w:sz w:val="19"/>
                <w:szCs w:val="19"/>
              </w:rPr>
              <w:t xml:space="preserve">• 52% of sustainability-active SMEs have attracted new customers (Willow Review 2025)</w:t>
            </w:r>
          </w:p>
          <w:p>
            <w:pPr>
              <w:spacing w:after="20" w:before="20"/>
              <w:jc w:val="left"/>
            </w:pPr>
            <w:r>
              <w:rPr>
                <w:rFonts w:ascii="Arial" w:cs="Arial" w:eastAsia="Arial" w:hAnsi="Arial"/>
                <w:b w:val="false"/>
                <w:bCs w:val="false"/>
                <w:color w:val="2C2C2C"/>
                <w:sz w:val="19"/>
                <w:szCs w:val="19"/>
              </w:rPr>
              <w:t xml:space="preserve">• CDP analysis: 18% higher ROI for climate-active companies</w:t>
            </w:r>
          </w:p>
          <w:p>
            <w:pPr>
              <w:spacing w:after="20" w:before="20"/>
              <w:jc w:val="left"/>
            </w:pPr>
            <w:r>
              <w:rPr>
                <w:rFonts w:ascii="Arial" w:cs="Arial" w:eastAsia="Arial" w:hAnsi="Arial"/>
                <w:b w:val="false"/>
                <w:bCs w:val="false"/>
                <w:color w:val="2C2C2C"/>
                <w:sz w:val="19"/>
                <w:szCs w:val="19"/>
              </w:rPr>
              <w:t xml:space="preserve">• Green finance expanding: net zero equity deals now 12% of all SME deals</w:t>
            </w:r>
          </w:p>
        </w:tc>
      </w:tr>
    </w:tbl>
    <w:p>
      <w:pPr>
        <w:spacing w:after="80" w:before="80"/>
        <w:jc w:val="left"/>
      </w:pPr>
      <w:r>
        <w:rPr>
          <w:rFonts w:ascii="Arial" w:cs="Arial" w:eastAsia="Arial" w:hAnsi="Arial"/>
          <w:b w:val="false"/>
          <w:bCs w:val="false"/>
          <w:color w:val="2C2C2C"/>
          <w:sz w:val="22"/>
          <w:szCs w:val="22"/>
        </w:rPr>
        <w:t xml:space="preserve"/>
      </w:r>
    </w:p>
    <w:p>
      <w:pPr>
        <w:spacing w:after="80" w:before="80"/>
        <w:jc w:val="left"/>
      </w:pPr>
      <w:r>
        <w:rPr>
          <w:rFonts w:ascii="Arial" w:cs="Arial" w:eastAsia="Arial" w:hAnsi="Arial"/>
          <w:b w:val="false"/>
          <w:bCs w:val="false"/>
          <w:color w:val="1A5C38"/>
          <w:sz w:val="22"/>
          <w:szCs w:val="22"/>
        </w:rPr>
        <w:t xml:space="preserve">SustainGate solves this by replacing manual processes with governed AI agents that do the heavy lifting automatically — turning compliance from a burden into a competitive advantage.</w:t>
      </w:r>
    </w:p>
    <w:p>
      <w:pPr>
        <w:spacing w:after="80" w:before="80"/>
        <w:jc w:val="left"/>
      </w:pPr>
      <w:r>
        <w:rPr>
          <w:rFonts w:ascii="Arial" w:cs="Arial" w:eastAsia="Arial" w:hAnsi="Arial"/>
          <w:b w:val="false"/>
          <w:bCs w:val="false"/>
          <w:color w:val="2C2C2C"/>
          <w:sz w:val="22"/>
          <w:szCs w:val="22"/>
        </w:rPr>
        <w:t xml:space="preserve"/>
      </w:r>
    </w:p>
    <w:p>
      <w:r>
        <w:br w:type="page"/>
      </w:r>
    </w:p>
    <w:p>
      <w:pPr>
        <w:pStyle w:val="Heading1"/>
        <w:pBdr>
          <w:bottom w:val="single" w:color="2E8B57" w:sz="4" w:space="4"/>
        </w:pBdr>
        <w:spacing w:after="120" w:before="320"/>
      </w:pPr>
      <w:r>
        <w:rPr>
          <w:rFonts w:ascii="Arial" w:cs="Arial" w:eastAsia="Arial" w:hAnsi="Arial"/>
          <w:b/>
          <w:bCs/>
          <w:color w:val="1A5C38"/>
          <w:sz w:val="28"/>
          <w:szCs w:val="28"/>
        </w:rPr>
        <w:t xml:space="preserve">3. The SustainGate Solution</w:t>
      </w:r>
    </w:p>
    <w:p>
      <w:pPr>
        <w:pStyle w:val="Heading2"/>
        <w:spacing w:after="80" w:before="200"/>
      </w:pPr>
      <w:r>
        <w:rPr>
          <w:rFonts w:ascii="Arial" w:cs="Arial" w:eastAsia="Arial" w:hAnsi="Arial"/>
          <w:b/>
          <w:bCs/>
          <w:color w:val="2E8B57"/>
          <w:sz w:val="24"/>
          <w:szCs w:val="24"/>
        </w:rPr>
        <w:t xml:space="preserve">Five Gates, Five AI Agents</w:t>
      </w:r>
    </w:p>
    <w:p>
      <w:pPr>
        <w:spacing w:after="80" w:before="80"/>
        <w:jc w:val="left"/>
      </w:pPr>
      <w:r>
        <w:rPr>
          <w:rFonts w:ascii="Arial" w:cs="Arial" w:eastAsia="Arial" w:hAnsi="Arial"/>
          <w:b w:val="false"/>
          <w:bCs w:val="false"/>
          <w:color w:val="2C2C2C"/>
          <w:sz w:val="22"/>
          <w:szCs w:val="22"/>
        </w:rPr>
        <w:t xml:space="preserve">SustainGate structures the sustainability journey into five progressive gates. Each gate combines a journey milestone with a governance checkpoint — powered by a dedicated AI agent that actively performs work on your behalf:</w:t>
      </w:r>
    </w:p>
    <w:p>
      <w:pPr>
        <w:spacing w:after="80" w:before="80"/>
        <w:jc w:val="left"/>
      </w:pPr>
      <w:r>
        <w:rPr>
          <w:rFonts w:ascii="Arial" w:cs="Arial" w:eastAsia="Arial" w:hAnsi="Arial"/>
          <w:b w:val="false"/>
          <w:bCs w:val="false"/>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3500"/>
        <w:gridCol w:w="3260"/>
      </w:tblGrid>
      <w:tr>
        <w:tc>
          <w:tcPr>
            <w:tcW w:type="dxa" w:w="11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Gate</w:t>
            </w:r>
          </w:p>
        </w:tc>
        <w:tc>
          <w:tcPr>
            <w:tcW w:type="dxa" w:w="15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Agent</w:t>
            </w:r>
          </w:p>
        </w:tc>
        <w:tc>
          <w:tcPr>
            <w:tcW w:type="dxa" w:w="35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What It Does</w:t>
            </w:r>
          </w:p>
        </w:tc>
        <w:tc>
          <w:tcPr>
            <w:tcW w:type="dxa" w:w="32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Governance Check</w:t>
            </w:r>
          </w:p>
        </w:tc>
      </w:tr>
      <w:tr>
        <w:tc>
          <w:tcPr>
            <w:tcW w:type="dxa" w:w="11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bCs/>
                <w:color w:val="1A5C38"/>
                <w:sz w:val="19"/>
                <w:szCs w:val="19"/>
              </w:rPr>
              <w:t xml:space="preserve">1. Assess</w:t>
            </w:r>
          </w:p>
        </w:tc>
        <w:tc>
          <w:tcPr>
            <w:tcW w:type="dxa" w:w="15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Carbon Auditor</w:t>
            </w:r>
          </w:p>
        </w:tc>
        <w:tc>
          <w:tcPr>
            <w:tcW w:type="dxa" w:w="35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Connects to accounting software &amp; energy suppliers. Extracts spend data, maps to DEFRA/DESNZ emission factors, builds Scope 1/2/3 inventory aligned to GHG Protocol.</w:t>
            </w:r>
          </w:p>
        </w:tc>
        <w:tc>
          <w:tcPr>
            <w:tcW w:type="dxa" w:w="326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GHG Protocol methodology; DEFRA conversion factors verified; confidence tiers disclosed; supplier identifiers redacted.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1A5C38"/>
                <w:sz w:val="19"/>
                <w:szCs w:val="19"/>
              </w:rPr>
              <w:t xml:space="preserve">2. Plan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Strategy Builder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Reads baseline assessment, recommends frameworks, generates Carbon Reduction Plan with science-based targets aligned to UK Net Zero 2050 and SBTi SME pathway.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SBTi criteria alignment; PPN 006 Technical Standard met; NHS Evergreen Level 1 requirements satisfied; data consistent with baseline.</w:t>
            </w:r>
          </w:p>
        </w:tc>
      </w:tr>
      <w:tr>
        <w:tc>
          <w:tcPr>
            <w:tcW w:type="dxa" w:w="11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bCs/>
                <w:color w:val="1A5C38"/>
                <w:sz w:val="19"/>
                <w:szCs w:val="19"/>
              </w:rPr>
              <w:t xml:space="preserve">3. Implement</w:t>
            </w:r>
          </w:p>
        </w:tc>
        <w:tc>
          <w:tcPr>
            <w:tcW w:type="dxa" w:w="15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Progress Tracker</w:t>
            </w:r>
          </w:p>
        </w:tc>
        <w:tc>
          <w:tcPr>
            <w:tcW w:type="dxa" w:w="35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Auto-collects monthly emissions data, chases non-responsive suppliers, tracks progress vs targets, logs UK ETS-relevant activity.</w:t>
            </w:r>
          </w:p>
        </w:tc>
        <w:tc>
          <w:tcPr>
            <w:tcW w:type="dxa" w:w="326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Data freshness validation; target trajectory monitoring; automated supplier reminders; CDP supply chain response support.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1A5C38"/>
                <w:sz w:val="19"/>
                <w:szCs w:val="19"/>
              </w:rPr>
              <w:t xml:space="preserve">4. Verify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Audit Prep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Cross-checks data consistency, identifies evidence gaps, assembles audit-ready evidence bundle for verifier review.</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Evidence completeness vs framework requirements; full data traceability; ISSA 5000 assurance-ready formatting.</w:t>
            </w:r>
          </w:p>
        </w:tc>
      </w:tr>
      <w:tr>
        <w:tc>
          <w:tcPr>
            <w:tcW w:type="dxa" w:w="11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bCs/>
                <w:color w:val="1A5C38"/>
                <w:sz w:val="19"/>
                <w:szCs w:val="19"/>
              </w:rPr>
              <w:t xml:space="preserve">5. Report</w:t>
            </w:r>
          </w:p>
        </w:tc>
        <w:tc>
          <w:tcPr>
            <w:tcW w:type="dxa" w:w="15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Report Writer</w:t>
            </w:r>
          </w:p>
        </w:tc>
        <w:tc>
          <w:tcPr>
            <w:tcW w:type="dxa" w:w="35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Generates compliant outputs: UK SRS-aligned climate disclosures, PPN 006 CRP, NHS Evergreen packs, CSRD/ESRS statements, CDP questionnaires, SBTi disclosures.</w:t>
            </w:r>
          </w:p>
        </w:tc>
        <w:tc>
          <w:tcPr>
            <w:tcW w:type="dxa" w:w="326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Framework disclosure requirements; mandatory field coverage; sensitive data redacted; UK SRS S2 disclosure structure verified.</w:t>
            </w:r>
          </w:p>
        </w:tc>
      </w:tr>
    </w:tbl>
    <w:p>
      <w:pPr>
        <w:spacing w:after="80" w:before="80"/>
        <w:jc w:val="left"/>
      </w:pPr>
      <w:r>
        <w:rPr>
          <w:rFonts w:ascii="Arial" w:cs="Arial" w:eastAsia="Arial" w:hAnsi="Arial"/>
          <w:b w:val="false"/>
          <w:bCs w:val="false"/>
          <w:color w:val="2C2C2C"/>
          <w:sz w:val="22"/>
          <w:szCs w:val="22"/>
        </w:rPr>
        <w:t xml:space="preserve"/>
      </w:r>
    </w:p>
    <w:p>
      <w:pPr>
        <w:pStyle w:val="Heading2"/>
        <w:spacing w:after="80" w:before="200"/>
      </w:pPr>
      <w:r>
        <w:rPr>
          <w:rFonts w:ascii="Arial" w:cs="Arial" w:eastAsia="Arial" w:hAnsi="Arial"/>
          <w:b/>
          <w:bCs/>
          <w:color w:val="2E8B57"/>
          <w:sz w:val="24"/>
          <w:szCs w:val="24"/>
        </w:rPr>
        <w:t xml:space="preserve">The Agentic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Capability</w:t>
            </w:r>
          </w:p>
        </w:tc>
        <w:tc>
          <w:tcPr>
            <w:tcW w:type="dxa" w:w="338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Traditional Approach</w:t>
            </w:r>
          </w:p>
        </w:tc>
        <w:tc>
          <w:tcPr>
            <w:tcW w:type="dxa" w:w="338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SustainGate Agentic Approach</w:t>
            </w:r>
          </w:p>
        </w:tc>
      </w:tr>
      <w:tr>
        <w:tc>
          <w:tcPr>
            <w:tcW w:type="dxa" w:w="26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bCs/>
                <w:color w:val="2C2C2C"/>
                <w:sz w:val="19"/>
                <w:szCs w:val="19"/>
              </w:rPr>
              <w:t xml:space="preserve">Data Collection</w:t>
            </w:r>
          </w:p>
        </w:tc>
        <w:tc>
          <w:tcPr>
            <w:tcW w:type="dxa" w:w="338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Manual CSV exports and email chains</w:t>
            </w:r>
          </w:p>
        </w:tc>
        <w:tc>
          <w:tcPr>
            <w:tcW w:type="dxa" w:w="338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AI agents connect directly to Xero, Sage, energy APIs and pull data automatically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2C2C2C"/>
                <w:sz w:val="19"/>
                <w:szCs w:val="19"/>
              </w:rPr>
              <w:t xml:space="preserve">Emission Calculation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Spreadsheets with formula errors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Agent applies DEFRA/DESNZ emission factors with confidence tiers and probabilistic gap-filling — updated annually</w:t>
            </w:r>
          </w:p>
        </w:tc>
      </w:tr>
      <w:tr>
        <w:tc>
          <w:tcPr>
            <w:tcW w:type="dxa" w:w="26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bCs/>
                <w:color w:val="2C2C2C"/>
                <w:sz w:val="19"/>
                <w:szCs w:val="19"/>
              </w:rPr>
              <w:t xml:space="preserve">UK SRS &amp; Framework Compliance</w:t>
            </w:r>
          </w:p>
        </w:tc>
        <w:tc>
          <w:tcPr>
            <w:tcW w:type="dxa" w:w="338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Consultant reviews at end of process</w:t>
            </w:r>
          </w:p>
        </w:tc>
        <w:tc>
          <w:tcPr>
            <w:tcW w:type="dxa" w:w="338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Every agent output passes a governance checkpoint against UK SRS S2, GHG Protocol, PPN 006, and NHS Evergreen before release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2C2C2C"/>
                <w:sz w:val="19"/>
                <w:szCs w:val="19"/>
              </w:rPr>
              <w:t xml:space="preserve">Supplier Engagement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Manual follow-up emails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Agent automatically chases non-responsive suppliers, logs status, and prepares CDP-format responses</w:t>
            </w:r>
          </w:p>
        </w:tc>
      </w:tr>
      <w:tr>
        <w:tc>
          <w:tcPr>
            <w:tcW w:type="dxa" w:w="26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bCs/>
                <w:color w:val="2C2C2C"/>
                <w:sz w:val="19"/>
                <w:szCs w:val="19"/>
              </w:rPr>
              <w:t xml:space="preserve">Reporting</w:t>
            </w:r>
          </w:p>
        </w:tc>
        <w:tc>
          <w:tcPr>
            <w:tcW w:type="dxa" w:w="338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Weeks to compile manually</w:t>
            </w:r>
          </w:p>
        </w:tc>
        <w:tc>
          <w:tcPr>
            <w:tcW w:type="dxa" w:w="338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Report Writer generates UK SRS-aligned, PPN 006, NHS Evergreen, and CSRD-compliant documents from verified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2C2C2C"/>
                <w:sz w:val="19"/>
                <w:szCs w:val="19"/>
              </w:rPr>
              <w:t xml:space="preserve">Audit Trail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Scattered files and emails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Full provenance trail: every agent action logged with timestamp, rule, and outcome — ISSA 5000 assurance-ready</w:t>
            </w:r>
          </w:p>
        </w:tc>
      </w:tr>
    </w:tbl>
    <w:p>
      <w:pPr>
        <w:spacing w:after="80" w:before="80"/>
        <w:jc w:val="left"/>
      </w:pPr>
      <w:r>
        <w:rPr>
          <w:rFonts w:ascii="Arial" w:cs="Arial" w:eastAsia="Arial" w:hAnsi="Arial"/>
          <w:b w:val="false"/>
          <w:bCs w:val="false"/>
          <w:color w:val="2C2C2C"/>
          <w:sz w:val="22"/>
          <w:szCs w:val="22"/>
        </w:rPr>
        <w:t xml:space="preserve"/>
      </w:r>
    </w:p>
    <w:p>
      <w:r>
        <w:br w:type="page"/>
      </w:r>
    </w:p>
    <w:p>
      <w:pPr>
        <w:pStyle w:val="Heading1"/>
        <w:pBdr>
          <w:bottom w:val="single" w:color="2E8B57" w:sz="4" w:space="4"/>
        </w:pBdr>
        <w:spacing w:after="120" w:before="320"/>
      </w:pPr>
      <w:r>
        <w:rPr>
          <w:rFonts w:ascii="Arial" w:cs="Arial" w:eastAsia="Arial" w:hAnsi="Arial"/>
          <w:b/>
          <w:bCs/>
          <w:color w:val="1A5C38"/>
          <w:sz w:val="28"/>
          <w:szCs w:val="28"/>
        </w:rPr>
        <w:t xml:space="preserve">4. Pilot Programme Structure</w:t>
      </w:r>
    </w:p>
    <w:p>
      <w:pPr>
        <w:spacing w:after="80" w:before="80"/>
        <w:jc w:val="left"/>
      </w:pPr>
      <w:r>
        <w:rPr>
          <w:rFonts w:ascii="Arial" w:cs="Arial" w:eastAsia="Arial" w:hAnsi="Arial"/>
          <w:b w:val="false"/>
          <w:bCs w:val="false"/>
          <w:color w:val="2C2C2C"/>
          <w:sz w:val="22"/>
          <w:szCs w:val="22"/>
        </w:rPr>
        <w:t xml:space="preserve">We propose a focused 12-week pilot to demonstrate SustainGate's capabilities within your organisation and deliver tangible compliance outputs — including the foundations needed for UK SRS supply chain readiness, PPN 006 compliance, and NHS Evergreen Level 1.</w:t>
      </w:r>
    </w:p>
    <w:p>
      <w:pPr>
        <w:spacing w:after="80" w:before="80"/>
        <w:jc w:val="left"/>
      </w:pPr>
      <w:r>
        <w:rPr>
          <w:rFonts w:ascii="Arial" w:cs="Arial" w:eastAsia="Arial" w:hAnsi="Arial"/>
          <w:b w:val="false"/>
          <w:bCs w:val="false"/>
          <w:color w:val="2C2C2C"/>
          <w:sz w:val="22"/>
          <w:szCs w:val="22"/>
        </w:rPr>
        <w:t xml:space="preserve"/>
      </w:r>
    </w:p>
    <w:p>
      <w:pPr>
        <w:pStyle w:val="Heading2"/>
        <w:spacing w:after="80" w:before="200"/>
      </w:pPr>
      <w:r>
        <w:rPr>
          <w:rFonts w:ascii="Arial" w:cs="Arial" w:eastAsia="Arial" w:hAnsi="Arial"/>
          <w:b/>
          <w:bCs/>
          <w:color w:val="2E8B57"/>
          <w:sz w:val="24"/>
          <w:szCs w:val="24"/>
        </w:rPr>
        <w:t xml:space="preserve">Pilot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300"/>
        <w:gridCol w:w="2760"/>
      </w:tblGrid>
      <w:tr>
        <w:tc>
          <w:tcPr>
            <w:tcW w:type="dxa" w:w="18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Phase</w:t>
            </w:r>
          </w:p>
        </w:tc>
        <w:tc>
          <w:tcPr>
            <w:tcW w:type="dxa" w:w="15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Duration</w:t>
            </w:r>
          </w:p>
        </w:tc>
        <w:tc>
          <w:tcPr>
            <w:tcW w:type="dxa" w:w="33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Activities</w:t>
            </w:r>
          </w:p>
        </w:tc>
        <w:tc>
          <w:tcPr>
            <w:tcW w:type="dxa" w:w="27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Deliverables</w:t>
            </w:r>
          </w:p>
        </w:tc>
      </w:tr>
      <w:tr>
        <w:tc>
          <w:tcPr>
            <w:tcW w:type="dxa" w:w="18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bCs/>
                <w:color w:val="2C2C2C"/>
                <w:sz w:val="19"/>
                <w:szCs w:val="19"/>
              </w:rPr>
              <w:t xml:space="preserve">1. Onboarding</w:t>
            </w:r>
          </w:p>
        </w:tc>
        <w:tc>
          <w:tcPr>
            <w:tcW w:type="dxa" w:w="15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Weeks 1–2</w:t>
            </w:r>
          </w:p>
        </w:tc>
        <w:tc>
          <w:tcPr>
            <w:tcW w:type="dxa" w:w="33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Connect accounting &amp; energy systems, configure sector profile, import existing data, map UK SRS S2 disclosure requirements</w:t>
            </w:r>
          </w:p>
        </w:tc>
        <w:tc>
          <w:tcPr>
            <w:tcW w:type="dxa" w:w="276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Connected data sources, configured dashboard, initial data quality report, UK SRS readiness gap assessment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2C2C2C"/>
                <w:sz w:val="19"/>
                <w:szCs w:val="19"/>
              </w:rPr>
              <w:t xml:space="preserve">2. Assess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Weeks 3–5</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Carbon Auditor agent scans transactions, maps DEFRA/DESNZ emission factors, builds GHG Protocol-compliant inventory across Scope 1, 2 and all 15 Scope 3 categories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Complete Scope 1, 2 &amp; 3 baseline report with confidence tiers — formatted for UK SRS S2 and PPN 006 disclosure</w:t>
            </w:r>
          </w:p>
        </w:tc>
      </w:tr>
      <w:tr>
        <w:tc>
          <w:tcPr>
            <w:tcW w:type="dxa" w:w="18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bCs/>
                <w:color w:val="2C2C2C"/>
                <w:sz w:val="19"/>
                <w:szCs w:val="19"/>
              </w:rPr>
              <w:t xml:space="preserve">3. Plan</w:t>
            </w:r>
          </w:p>
        </w:tc>
        <w:tc>
          <w:tcPr>
            <w:tcW w:type="dxa" w:w="15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Weeks 6–8</w:t>
            </w:r>
          </w:p>
        </w:tc>
        <w:tc>
          <w:tcPr>
            <w:tcW w:type="dxa" w:w="33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Strategy Builder generates Carbon Reduction Plan, identifies quick wins, maps pathway to UK Net Zero 2050 and SBTi SME validation</w:t>
            </w:r>
          </w:p>
        </w:tc>
        <w:tc>
          <w:tcPr>
            <w:tcW w:type="dxa" w:w="276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Draft CRP aligned to PPN 006 Technical Standard, SBTi criteria, and NHS Evergreen Level 1; quick-win savings identified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2C2C2C"/>
                <w:sz w:val="19"/>
                <w:szCs w:val="19"/>
              </w:rPr>
              <w:t xml:space="preserve">4. Implement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Weeks 9–12</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Progress Tracker begins ongoing data collection, supplier engagement, monthly tracking, and CDP supply chain response preparation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Monthly emissions dashboard, supplier engagement status, governance audit log, CDP response draft</w:t>
            </w:r>
          </w:p>
        </w:tc>
      </w:tr>
    </w:tbl>
    <w:p>
      <w:pPr>
        <w:spacing w:after="80" w:before="80"/>
        <w:jc w:val="left"/>
      </w:pPr>
      <w:r>
        <w:rPr>
          <w:rFonts w:ascii="Arial" w:cs="Arial" w:eastAsia="Arial" w:hAnsi="Arial"/>
          <w:b w:val="false"/>
          <w:bCs w:val="false"/>
          <w:color w:val="2C2C2C"/>
          <w:sz w:val="22"/>
          <w:szCs w:val="22"/>
        </w:rPr>
        <w:t xml:space="preserve"/>
      </w:r>
    </w:p>
    <w:p>
      <w:pPr>
        <w:pStyle w:val="Heading2"/>
        <w:spacing w:after="80" w:before="200"/>
      </w:pPr>
      <w:r>
        <w:rPr>
          <w:rFonts w:ascii="Arial" w:cs="Arial" w:eastAsia="Arial" w:hAnsi="Arial"/>
          <w:b/>
          <w:bCs/>
          <w:color w:val="2E8B57"/>
          <w:sz w:val="24"/>
          <w:szCs w:val="24"/>
        </w:rPr>
        <w:t xml:space="preserve">What You Get From the Pilot</w:t>
      </w:r>
    </w:p>
    <w:p>
      <w:pPr>
        <w:spacing w:after="80" w:before="80"/>
        <w:jc w:val="left"/>
      </w:pPr>
      <w:r>
        <w:rPr>
          <w:rFonts w:ascii="Arial" w:cs="Arial" w:eastAsia="Arial" w:hAnsi="Arial"/>
          <w:b w:val="false"/>
          <w:bCs w:val="false"/>
          <w:color w:val="2C2C2C"/>
          <w:sz w:val="22"/>
          <w:szCs w:val="22"/>
        </w:rP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Complete GHG baseline — Scope 1, 2 and 3 inventory with full methodology documentation, aligned to GHG Protocol and DEFRA/DESNZ conversion factors.</w:t>
      </w:r>
    </w:p>
    <w:p>
      <w:pPr>
        <w:pStyle w:val="ListParagraph"/>
        <w:numPr>
          <w:ilvl w:val="0"/>
          <w:numId w:val="2"/>
        </w:numPr>
        <w:spacing w:after="40" w:before="40"/>
      </w:pPr>
      <w:r>
        <w:rPr>
          <w:rFonts w:ascii="Arial" w:cs="Arial" w:eastAsia="Arial" w:hAnsi="Arial"/>
          <w:b w:val="false"/>
          <w:bCs w:val="false"/>
          <w:color w:val="2C2C2C"/>
          <w:sz w:val="22"/>
          <w:szCs w:val="22"/>
        </w:rPr>
        <w:t xml:space="preserve">Draft Carbon Reduction Plan — meeting PPN 006 Technical Standard, NHS Evergreen Level 1, and director sign-off structure; ready for immediate publication.</w:t>
      </w:r>
    </w:p>
    <w:p>
      <w:pPr>
        <w:pStyle w:val="ListParagraph"/>
        <w:numPr>
          <w:ilvl w:val="0"/>
          <w:numId w:val="2"/>
        </w:numPr>
        <w:spacing w:after="40" w:before="40"/>
      </w:pPr>
      <w:r>
        <w:rPr>
          <w:rFonts w:ascii="Arial" w:cs="Arial" w:eastAsia="Arial" w:hAnsi="Arial"/>
          <w:b w:val="false"/>
          <w:bCs w:val="false"/>
          <w:color w:val="2C2C2C"/>
          <w:sz w:val="22"/>
          <w:szCs w:val="22"/>
        </w:rPr>
        <w:t xml:space="preserve">UK SRS S2 readiness report — mapping your current position against the disclosure requirements your large customers will begin requesting from 2027.</w:t>
      </w:r>
    </w:p>
    <w:p>
      <w:pPr>
        <w:pStyle w:val="ListParagraph"/>
        <w:numPr>
          <w:ilvl w:val="0"/>
          <w:numId w:val="2"/>
        </w:numPr>
        <w:spacing w:after="40" w:before="40"/>
      </w:pPr>
      <w:r>
        <w:rPr>
          <w:rFonts w:ascii="Arial" w:cs="Arial" w:eastAsia="Arial" w:hAnsi="Arial"/>
          <w:b w:val="false"/>
          <w:bCs w:val="false"/>
          <w:color w:val="2C2C2C"/>
          <w:sz w:val="22"/>
          <w:szCs w:val="22"/>
        </w:rPr>
        <w:t xml:space="preserve">Live compliance dashboard — real-time gate progress, agent activity, and KPIs across all active frameworks.</w:t>
      </w:r>
    </w:p>
    <w:p>
      <w:pPr>
        <w:pStyle w:val="ListParagraph"/>
        <w:numPr>
          <w:ilvl w:val="0"/>
          <w:numId w:val="2"/>
        </w:numPr>
        <w:spacing w:after="40" w:before="40"/>
      </w:pPr>
      <w:r>
        <w:rPr>
          <w:rFonts w:ascii="Arial" w:cs="Arial" w:eastAsia="Arial" w:hAnsi="Arial"/>
          <w:b w:val="false"/>
          <w:bCs w:val="false"/>
          <w:color w:val="2C2C2C"/>
          <w:sz w:val="22"/>
          <w:szCs w:val="22"/>
        </w:rPr>
        <w:t xml:space="preserve">Quick-win savings identified — concrete actions to reduce emissions and energy costs immediately.</w:t>
      </w:r>
    </w:p>
    <w:p>
      <w:pPr>
        <w:pStyle w:val="ListParagraph"/>
        <w:numPr>
          <w:ilvl w:val="0"/>
          <w:numId w:val="2"/>
        </w:numPr>
        <w:spacing w:after="40" w:before="40"/>
      </w:pPr>
      <w:r>
        <w:rPr>
          <w:rFonts w:ascii="Arial" w:cs="Arial" w:eastAsia="Arial" w:hAnsi="Arial"/>
          <w:b w:val="false"/>
          <w:bCs w:val="false"/>
          <w:color w:val="2C2C2C"/>
          <w:sz w:val="22"/>
          <w:szCs w:val="22"/>
        </w:rPr>
        <w:t xml:space="preserve">Governance audit trail — every agent action logged for verifier transparency, formatted for ISSA 5000 assurance compatibility.</w:t>
      </w:r>
    </w:p>
    <w:p>
      <w:pPr>
        <w:pStyle w:val="ListParagraph"/>
        <w:numPr>
          <w:ilvl w:val="0"/>
          <w:numId w:val="2"/>
        </w:numPr>
        <w:spacing w:after="40" w:before="40"/>
      </w:pPr>
      <w:r>
        <w:rPr>
          <w:rFonts w:ascii="Arial" w:cs="Arial" w:eastAsia="Arial" w:hAnsi="Arial"/>
          <w:b w:val="false"/>
          <w:bCs w:val="false"/>
          <w:color w:val="2C2C2C"/>
          <w:sz w:val="22"/>
          <w:szCs w:val="22"/>
        </w:rPr>
        <w:t xml:space="preserve">Roadmap to full compliance — clear path through remaining gates (Verify, Report) with timeline, costs, and SBTi validation steps.</w:t>
      </w:r>
    </w:p>
    <w:p>
      <w:pPr>
        <w:spacing w:after="80" w:before="80"/>
        <w:jc w:val="left"/>
      </w:pPr>
      <w:r>
        <w:rPr>
          <w:rFonts w:ascii="Arial" w:cs="Arial" w:eastAsia="Arial" w:hAnsi="Arial"/>
          <w:b w:val="false"/>
          <w:bCs w:val="false"/>
          <w:color w:val="2C2C2C"/>
          <w:sz w:val="22"/>
          <w:szCs w:val="22"/>
        </w:rPr>
        <w:t xml:space="preserve"/>
      </w:r>
    </w:p>
    <w:p>
      <w:r>
        <w:br w:type="page"/>
      </w:r>
    </w:p>
    <w:p>
      <w:pPr>
        <w:pStyle w:val="Heading1"/>
        <w:pBdr>
          <w:bottom w:val="single" w:color="2E8B57" w:sz="4" w:space="4"/>
        </w:pBdr>
        <w:spacing w:after="120" w:before="320"/>
      </w:pPr>
      <w:r>
        <w:rPr>
          <w:rFonts w:ascii="Arial" w:cs="Arial" w:eastAsia="Arial" w:hAnsi="Arial"/>
          <w:b/>
          <w:bCs/>
          <w:color w:val="1A5C38"/>
          <w:sz w:val="28"/>
          <w:szCs w:val="28"/>
        </w:rPr>
        <w:t xml:space="preserve">5. Frameworks &amp; Standards Covered</w:t>
      </w:r>
    </w:p>
    <w:p>
      <w:pPr>
        <w:spacing w:after="80" w:before="80"/>
        <w:jc w:val="left"/>
      </w:pPr>
      <w:r>
        <w:rPr>
          <w:rFonts w:ascii="Arial" w:cs="Arial" w:eastAsia="Arial" w:hAnsi="Arial"/>
          <w:b w:val="false"/>
          <w:bCs w:val="false"/>
          <w:color w:val="2C2C2C"/>
          <w:sz w:val="22"/>
          <w:szCs w:val="22"/>
        </w:rPr>
        <w:t xml:space="preserve">SustainGate's governance rules are built on the full stack of established UK and international sustainability frameworks. Every output is checked against applicable standards before release:</w:t>
      </w:r>
    </w:p>
    <w:p>
      <w:pPr>
        <w:spacing w:after="80" w:before="80"/>
        <w:jc w:val="left"/>
      </w:pPr>
      <w:r>
        <w:rPr>
          <w:rFonts w:ascii="Arial" w:cs="Arial" w:eastAsia="Arial" w:hAnsi="Arial"/>
          <w:b w:val="false"/>
          <w:bCs w:val="false"/>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Framework</w:t>
            </w:r>
          </w:p>
        </w:tc>
        <w:tc>
          <w:tcPr>
            <w:tcW w:type="dxa" w:w="71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How SustainGate Uses It</w:t>
            </w:r>
          </w:p>
        </w:tc>
      </w:tr>
      <w:tr>
        <w:tc>
          <w:tcPr>
            <w:tcW w:type="dxa" w:w="22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bCs/>
                <w:color w:val="1A5C38"/>
                <w:sz w:val="19"/>
                <w:szCs w:val="19"/>
              </w:rPr>
              <w:t xml:space="preserve">UK SRS S1 &amp; S2</w:t>
            </w:r>
          </w:p>
        </w:tc>
        <w:tc>
          <w:tcPr>
            <w:tcW w:type="dxa" w:w="716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Report Writer agent structures climate disclosures against the UK SRS S2 four-pillar framework (governance, strategy, risk management, metrics/targets). SME clients receive a UK SRS readiness assessment and supply chain disclosure pack to respond to large-company buyer requests from 2027.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2C2C2C"/>
                <w:sz w:val="19"/>
                <w:szCs w:val="19"/>
              </w:rPr>
              <w:t xml:space="preserve">GHG Protocol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Carbon Auditor agent follows GHG Protocol Corporate Standard for Scope 1 &amp; 2 and Value Chain Standard for Scope 3 — the required methodology under UK SRS S2, PPN 006, and NHS Evergreen.</w:t>
            </w:r>
          </w:p>
        </w:tc>
      </w:tr>
      <w:tr>
        <w:tc>
          <w:tcPr>
            <w:tcW w:type="dxa" w:w="22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bCs/>
                <w:color w:val="1A5C38"/>
                <w:sz w:val="19"/>
                <w:szCs w:val="19"/>
              </w:rPr>
              <w:t xml:space="preserve">UK Net Zero (2050) &amp; NDC</w:t>
            </w:r>
          </w:p>
        </w:tc>
        <w:tc>
          <w:tcPr>
            <w:tcW w:type="dxa" w:w="716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All reduction targets generated by the Strategy Builder are aligned to the UK's legally binding 2050 net zero target and the updated 2035 NDC (81% reduction). Carbon budgets are factored into trajectory modelling.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2C2C2C"/>
                <w:sz w:val="19"/>
                <w:szCs w:val="19"/>
              </w:rPr>
              <w:t xml:space="preserve">PPN 006</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Strategy Builder generates Carbon Reduction Plans meeting the PPN 006 Technical Standard, including net zero commitment, environmental management measures, and director sign-off structure — required for government contracts &gt;£5m/year.</w:t>
            </w:r>
          </w:p>
        </w:tc>
      </w:tr>
      <w:tr>
        <w:tc>
          <w:tcPr>
            <w:tcW w:type="dxa" w:w="22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bCs/>
                <w:color w:val="1A5C38"/>
                <w:sz w:val="19"/>
                <w:szCs w:val="19"/>
              </w:rPr>
              <w:t xml:space="preserve">NHS Evergreen</w:t>
            </w:r>
          </w:p>
        </w:tc>
        <w:tc>
          <w:tcPr>
            <w:tcW w:type="dxa" w:w="716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Dedicated NHS Evergreen module maps outputs to Level 1, 2, and 3 assessment criteria. April 2026 Level 1 compliance is a default pilot deliverable for NHS supply chain clients.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2C2C2C"/>
                <w:sz w:val="19"/>
                <w:szCs w:val="19"/>
              </w:rPr>
              <w:t xml:space="preserve">SBTi SME Pathway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Targets are aligned with SBTi's Corporate Net-Zero Standard and the SME validation pathway (companies &lt;500 employees, &lt;€50m revenue). Reduction targets are science-based and submission-ready.</w:t>
            </w:r>
          </w:p>
        </w:tc>
      </w:tr>
      <w:tr>
        <w:tc>
          <w:tcPr>
            <w:tcW w:type="dxa" w:w="22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bCs/>
                <w:color w:val="1A5C38"/>
                <w:sz w:val="19"/>
                <w:szCs w:val="19"/>
              </w:rPr>
              <w:t xml:space="preserve">DEFRA / DESNZ Emission Factors</w:t>
            </w:r>
          </w:p>
        </w:tc>
        <w:tc>
          <w:tcPr>
            <w:tcW w:type="dxa" w:w="716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Carbon Auditor uses the latest DEFRA/DESNZ conversion factors (2025 update, released 10 June 2025) — including the 14.5% reduction in UK grid electricity intensity. Factors auto-update annually.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2C2C2C"/>
                <w:sz w:val="19"/>
                <w:szCs w:val="19"/>
              </w:rPr>
              <w:t xml:space="preserve">ESRS / CSRD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Report Writer maps outputs to ESRS disclosure requirements (including ESRS E1 climate) for clients with EU operations or EU customers under CSRD scope (&gt;1,000 employees, &gt;€450m turnover post-Omnibus).</w:t>
            </w:r>
          </w:p>
        </w:tc>
      </w:tr>
      <w:tr>
        <w:tc>
          <w:tcPr>
            <w:tcW w:type="dxa" w:w="22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bCs/>
                <w:color w:val="1A5C38"/>
                <w:sz w:val="19"/>
                <w:szCs w:val="19"/>
              </w:rPr>
              <w:t xml:space="preserve">CDP</w:t>
            </w:r>
          </w:p>
        </w:tc>
        <w:tc>
          <w:tcPr>
            <w:tcW w:type="dxa" w:w="716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SustainGate outputs are mapped to the CDP Climate questionnaire, which is now fully aligned with IFRS S2/UK SRS S2. The Progress Tracker agent prepares responses to CDP supply chain buyer requests, supporting the 45,000+ suppliers contacted annually.</w:t>
            </w:r>
          </w:p>
        </w:tc>
      </w:tr>
    </w:tbl>
    <w:p>
      <w:pPr>
        <w:spacing w:after="80" w:before="80"/>
        <w:jc w:val="left"/>
      </w:pPr>
      <w:r>
        <w:rPr>
          <w:rFonts w:ascii="Arial" w:cs="Arial" w:eastAsia="Arial" w:hAnsi="Arial"/>
          <w:b w:val="false"/>
          <w:bCs w:val="false"/>
          <w:color w:val="2C2C2C"/>
          <w:sz w:val="22"/>
          <w:szCs w:val="22"/>
        </w:rPr>
        <w:t xml:space="preserve"/>
      </w:r>
    </w:p>
    <w:p>
      <w:r>
        <w:br w:type="page"/>
      </w:r>
    </w:p>
    <w:p>
      <w:pPr>
        <w:pStyle w:val="Heading1"/>
        <w:pBdr>
          <w:bottom w:val="single" w:color="2E8B57" w:sz="4" w:space="4"/>
        </w:pBdr>
        <w:spacing w:after="120" w:before="320"/>
      </w:pPr>
      <w:r>
        <w:rPr>
          <w:rFonts w:ascii="Arial" w:cs="Arial" w:eastAsia="Arial" w:hAnsi="Arial"/>
          <w:b/>
          <w:bCs/>
          <w:color w:val="1A5C38"/>
          <w:sz w:val="28"/>
          <w:szCs w:val="28"/>
        </w:rPr>
        <w:t xml:space="preserve">6. Pilot Investment</w:t>
      </w:r>
    </w:p>
    <w:p>
      <w:pPr>
        <w:spacing w:after="80" w:before="80"/>
        <w:jc w:val="left"/>
      </w:pPr>
      <w:r>
        <w:rPr>
          <w:rFonts w:ascii="Arial" w:cs="Arial" w:eastAsia="Arial" w:hAnsi="Arial"/>
          <w:b w:val="false"/>
          <w:bCs w:val="false"/>
          <w:color w:val="2C2C2C"/>
          <w:sz w:val="22"/>
          <w:szCs w:val="22"/>
        </w:rPr>
        <w:t xml:space="preserve">The 12-week pilot is designed to deliver immediate, tangible compliance value while demonstrating the platform's full potential.</w:t>
      </w:r>
    </w:p>
    <w:p>
      <w:pPr>
        <w:spacing w:after="80" w:before="80"/>
        <w:jc w:val="left"/>
      </w:pPr>
      <w:r>
        <w:rPr>
          <w:rFonts w:ascii="Arial" w:cs="Arial" w:eastAsia="Arial" w:hAnsi="Arial"/>
          <w:b w:val="false"/>
          <w:bCs w:val="false"/>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Item</w:t>
            </w:r>
          </w:p>
        </w:tc>
        <w:tc>
          <w:tcPr>
            <w:tcW w:type="dxa" w:w="58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Details</w:t>
            </w:r>
          </w:p>
        </w:tc>
      </w:tr>
      <w:tr>
        <w:tc>
          <w:tcPr>
            <w:tcW w:type="dxa" w:w="35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bCs/>
                <w:color w:val="2C2C2C"/>
                <w:sz w:val="20"/>
                <w:szCs w:val="20"/>
              </w:rPr>
              <w:t xml:space="preserve">Pilot Programme (12 weeks)</w:t>
            </w:r>
          </w:p>
        </w:tc>
        <w:tc>
          <w:tcPr>
            <w:tcW w:type="dxa" w:w="586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20"/>
                <w:szCs w:val="20"/>
              </w:rPr>
              <w:t xml:space="preserve">[Pricing to be discussed]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Includes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Platform access, system integrations, dedicated support, all pilot deliverables including UK SRS readiness assessment, PPN 006-compliant CRP, and NHS Evergreen Level 1 pack</w:t>
            </w:r>
          </w:p>
        </w:tc>
      </w:tr>
      <w:tr>
        <w:tc>
          <w:tcPr>
            <w:tcW w:type="dxa" w:w="35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bCs/>
                <w:color w:val="2C2C2C"/>
                <w:sz w:val="20"/>
                <w:szCs w:val="20"/>
              </w:rPr>
              <w:t xml:space="preserve">Ongoing subscription (post-pilot)</w:t>
            </w:r>
          </w:p>
        </w:tc>
        <w:tc>
          <w:tcPr>
            <w:tcW w:type="dxa" w:w="586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20"/>
                <w:szCs w:val="20"/>
              </w:rPr>
              <w:t xml:space="preserve">[Monthly subscription — to be confirmed]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Includes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Continuous agent monitoring, monthly reporting, annual CRP updates, DEFRA factor auto-updates, UK SRS framework updates, CDP response support</w:t>
            </w:r>
          </w:p>
        </w:tc>
      </w:tr>
    </w:tbl>
    <w:p>
      <w:pPr>
        <w:spacing w:after="80" w:before="80"/>
        <w:jc w:val="left"/>
      </w:pPr>
      <w:r>
        <w:rPr>
          <w:rFonts w:ascii="Arial" w:cs="Arial" w:eastAsia="Arial" w:hAnsi="Arial"/>
          <w:b w:val="false"/>
          <w:bCs w:val="false"/>
          <w:color w:val="2C2C2C"/>
          <w:sz w:val="22"/>
          <w:szCs w:val="22"/>
        </w:rPr>
        <w:t xml:space="preserve"/>
      </w:r>
    </w:p>
    <w:p>
      <w:pPr>
        <w:pStyle w:val="Heading2"/>
        <w:spacing w:after="80" w:before="200"/>
      </w:pPr>
      <w:r>
        <w:rPr>
          <w:rFonts w:ascii="Arial" w:cs="Arial" w:eastAsia="Arial" w:hAnsi="Arial"/>
          <w:b/>
          <w:bCs/>
          <w:color w:val="2E8B57"/>
          <w:sz w:val="24"/>
          <w:szCs w:val="24"/>
        </w:rPr>
        <w:t xml:space="preserve">Return on Investment</w:t>
      </w:r>
    </w:p>
    <w:p>
      <w:pPr>
        <w:spacing w:after="80" w:before="80"/>
        <w:jc w:val="left"/>
      </w:pPr>
      <w:r>
        <w:rPr>
          <w:rFonts w:ascii="Arial" w:cs="Arial" w:eastAsia="Arial" w:hAnsi="Arial"/>
          <w:b w:val="false"/>
          <w:bCs w:val="false"/>
          <w:color w:val="2C2C2C"/>
          <w:sz w:val="22"/>
          <w:szCs w:val="22"/>
        </w:rPr>
        <w:t xml:space="preserve">The business case for acting now is built on hard data:</w:t>
      </w:r>
    </w:p>
    <w:p>
      <w:pPr>
        <w:spacing w:after="80" w:before="80"/>
        <w:jc w:val="left"/>
      </w:pPr>
      <w:r>
        <w:rPr>
          <w:rFonts w:ascii="Arial" w:cs="Arial" w:eastAsia="Arial" w:hAnsi="Arial"/>
          <w:b w:val="false"/>
          <w:bCs w:val="false"/>
          <w:color w:val="2C2C2C"/>
          <w:sz w:val="22"/>
          <w:szCs w:val="22"/>
        </w:rP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Time savings: Reduce compliance preparation from months to weeks. UK SRS Scope 3 data requests from large customers will require structured, auditable emissions data — SustainGate produces this automatically.</w:t>
      </w:r>
    </w:p>
    <w:p>
      <w:pPr>
        <w:pStyle w:val="ListParagraph"/>
        <w:numPr>
          <w:ilvl w:val="0"/>
          <w:numId w:val="2"/>
        </w:numPr>
        <w:spacing w:after="40" w:before="40"/>
      </w:pPr>
      <w:r>
        <w:rPr>
          <w:rFonts w:ascii="Arial" w:cs="Arial" w:eastAsia="Arial" w:hAnsi="Arial"/>
          <w:b w:val="false"/>
          <w:bCs w:val="false"/>
          <w:color w:val="2C2C2C"/>
          <w:sz w:val="22"/>
          <w:szCs w:val="22"/>
        </w:rPr>
        <w:t xml:space="preserve">Cost reduction: Replace expensive consultancy at £500–£1,500/day with always-on AI agents. The Willow Review (2025) found 67% of sustainability-active SMEs reported reduced operational costs.</w:t>
      </w:r>
    </w:p>
    <w:p>
      <w:pPr>
        <w:pStyle w:val="ListParagraph"/>
        <w:numPr>
          <w:ilvl w:val="0"/>
          <w:numId w:val="2"/>
        </w:numPr>
        <w:spacing w:after="40" w:before="40"/>
      </w:pPr>
      <w:r>
        <w:rPr>
          <w:rFonts w:ascii="Arial" w:cs="Arial" w:eastAsia="Arial" w:hAnsi="Arial"/>
          <w:b w:val="false"/>
          <w:bCs w:val="false"/>
          <w:color w:val="2C2C2C"/>
          <w:sz w:val="22"/>
          <w:szCs w:val="22"/>
        </w:rPr>
        <w:t xml:space="preserve">Revenue protection: PPN 006 gates £434bn of public procurement. NHS Evergreen Level 1 is mandatory from April 2026. Without a compliant CRP, these markets are closed.</w:t>
      </w:r>
    </w:p>
    <w:p>
      <w:pPr>
        <w:pStyle w:val="ListParagraph"/>
        <w:numPr>
          <w:ilvl w:val="0"/>
          <w:numId w:val="2"/>
        </w:numPr>
        <w:spacing w:after="40" w:before="40"/>
      </w:pPr>
      <w:r>
        <w:rPr>
          <w:rFonts w:ascii="Arial" w:cs="Arial" w:eastAsia="Arial" w:hAnsi="Arial"/>
          <w:b w:val="false"/>
          <w:bCs w:val="false"/>
          <w:color w:val="2C2C2C"/>
          <w:sz w:val="22"/>
          <w:szCs w:val="22"/>
        </w:rPr>
        <w:t xml:space="preserve">Revenue generation: 52% of sustainability-active SMEs attracted new customers (Willow Review 2025). CDP analysis shows companies actively managing climate risk achieve 18% higher ROI than those that do not.</w:t>
      </w:r>
    </w:p>
    <w:p>
      <w:pPr>
        <w:pStyle w:val="ListParagraph"/>
        <w:numPr>
          <w:ilvl w:val="0"/>
          <w:numId w:val="2"/>
        </w:numPr>
        <w:spacing w:after="40" w:before="40"/>
      </w:pPr>
      <w:r>
        <w:rPr>
          <w:rFonts w:ascii="Arial" w:cs="Arial" w:eastAsia="Arial" w:hAnsi="Arial"/>
          <w:b w:val="false"/>
          <w:bCs w:val="false"/>
          <w:color w:val="2C2C2C"/>
          <w:sz w:val="22"/>
          <w:szCs w:val="22"/>
        </w:rPr>
        <w:t xml:space="preserve">Quick-win savings: Energy efficiency and supplier optimisation actions identified during Assess and Plan phases typically deliver measurable cost savings within 6–12 months.</w:t>
      </w:r>
    </w:p>
    <w:p>
      <w:pPr>
        <w:pStyle w:val="ListParagraph"/>
        <w:numPr>
          <w:ilvl w:val="0"/>
          <w:numId w:val="2"/>
        </w:numPr>
        <w:spacing w:after="40" w:before="40"/>
      </w:pPr>
      <w:r>
        <w:rPr>
          <w:rFonts w:ascii="Arial" w:cs="Arial" w:eastAsia="Arial" w:hAnsi="Arial"/>
          <w:b w:val="false"/>
          <w:bCs w:val="false"/>
          <w:color w:val="2C2C2C"/>
          <w:sz w:val="22"/>
          <w:szCs w:val="22"/>
        </w:rPr>
        <w:t xml:space="preserve">Green finance access: Net zero-related equity deals now represent 12% of all SME equity deals, up from 5% in 2018. A credible GHG baseline and CRP are prerequisite for green loan and grant applications.</w:t>
      </w:r>
    </w:p>
    <w:p>
      <w:pPr>
        <w:pStyle w:val="ListParagraph"/>
        <w:numPr>
          <w:ilvl w:val="0"/>
          <w:numId w:val="2"/>
        </w:numPr>
        <w:spacing w:after="40" w:before="40"/>
      </w:pPr>
      <w:r>
        <w:rPr>
          <w:rFonts w:ascii="Arial" w:cs="Arial" w:eastAsia="Arial" w:hAnsi="Arial"/>
          <w:b w:val="false"/>
          <w:bCs w:val="false"/>
          <w:color w:val="2C2C2C"/>
          <w:sz w:val="22"/>
          <w:szCs w:val="22"/>
        </w:rPr>
        <w:t xml:space="preserve">First-mover advantage: Only 15% of UK SMEs have measured their footprint. Every NHS Evergreen milestone and UK SRS supply chain request that passes without compliance narrows the window for cost-effective preparation.</w:t>
      </w:r>
    </w:p>
    <w:p>
      <w:pPr>
        <w:spacing w:after="80" w:before="80"/>
        <w:jc w:val="left"/>
      </w:pPr>
      <w:r>
        <w:rPr>
          <w:rFonts w:ascii="Arial" w:cs="Arial" w:eastAsia="Arial" w:hAnsi="Arial"/>
          <w:b w:val="false"/>
          <w:bCs w:val="false"/>
          <w:color w:val="2C2C2C"/>
          <w:sz w:val="22"/>
          <w:szCs w:val="22"/>
        </w:rPr>
        <w:t xml:space="preserve"/>
      </w:r>
    </w:p>
    <w:p>
      <w:r>
        <w:br w:type="page"/>
      </w:r>
    </w:p>
    <w:p>
      <w:pPr>
        <w:pStyle w:val="Heading1"/>
        <w:pBdr>
          <w:bottom w:val="single" w:color="2E8B57" w:sz="4" w:space="4"/>
        </w:pBdr>
        <w:spacing w:after="120" w:before="320"/>
      </w:pPr>
      <w:r>
        <w:rPr>
          <w:rFonts w:ascii="Arial" w:cs="Arial" w:eastAsia="Arial" w:hAnsi="Arial"/>
          <w:b/>
          <w:bCs/>
          <w:color w:val="1A5C38"/>
          <w:sz w:val="28"/>
          <w:szCs w:val="28"/>
        </w:rPr>
        <w:t xml:space="preserve">7. Getting Started</w:t>
      </w:r>
    </w:p>
    <w:p>
      <w:pPr>
        <w:spacing w:after="80" w:before="80"/>
        <w:jc w:val="left"/>
      </w:pPr>
      <w:r>
        <w:rPr>
          <w:rFonts w:ascii="Arial" w:cs="Arial" w:eastAsia="Arial" w:hAnsi="Arial"/>
          <w:b w:val="false"/>
          <w:bCs w:val="false"/>
          <w:color w:val="2C2C2C"/>
          <w:sz w:val="22"/>
          <w:szCs w:val="22"/>
        </w:rPr>
        <w:t xml:space="preserve">To begin the pilot, we need the following from your organisation:</w:t>
      </w:r>
    </w:p>
    <w:p>
      <w:pPr>
        <w:spacing w:after="80" w:before="80"/>
        <w:jc w:val="left"/>
      </w:pPr>
      <w:r>
        <w:rPr>
          <w:rFonts w:ascii="Arial" w:cs="Arial" w:eastAsia="Arial" w:hAnsi="Arial"/>
          <w:b w:val="false"/>
          <w:bCs w:val="false"/>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t>
            </w:r>
          </w:p>
        </w:tc>
        <w:tc>
          <w:tcPr>
            <w:tcW w:type="dxa" w:w="25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Requirement</w:t>
            </w:r>
          </w:p>
        </w:tc>
        <w:tc>
          <w:tcPr>
            <w:tcW w:type="dxa" w:w="63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Details</w:t>
            </w:r>
          </w:p>
        </w:tc>
      </w:tr>
      <w:tr>
        <w:tc>
          <w:tcPr>
            <w:tcW w:type="dxa" w:w="5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1</w:t>
            </w:r>
          </w:p>
        </w:tc>
        <w:tc>
          <w:tcPr>
            <w:tcW w:type="dxa" w:w="25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bCs/>
                <w:color w:val="2C2C2C"/>
                <w:sz w:val="19"/>
                <w:szCs w:val="19"/>
              </w:rPr>
              <w:t xml:space="preserve">Accounting system access</w:t>
            </w:r>
          </w:p>
        </w:tc>
        <w:tc>
          <w:tcPr>
            <w:tcW w:type="dxa" w:w="636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Read-only API connection to Xero, Sage, QuickBooks or equivalent.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2C2C2C"/>
                <w:sz w:val="19"/>
                <w:szCs w:val="19"/>
              </w:rPr>
              <w:t xml:space="preserve">Energy supplier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12 months of energy bills or supplier portal credentials for automatic collection.</w:t>
            </w:r>
          </w:p>
        </w:tc>
      </w:tr>
      <w:tr>
        <w:tc>
          <w:tcPr>
            <w:tcW w:type="dxa" w:w="5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3</w:t>
            </w:r>
          </w:p>
        </w:tc>
        <w:tc>
          <w:tcPr>
            <w:tcW w:type="dxa" w:w="25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bCs/>
                <w:color w:val="2C2C2C"/>
                <w:sz w:val="19"/>
                <w:szCs w:val="19"/>
              </w:rPr>
              <w:t xml:space="preserve">Key supplier list</w:t>
            </w:r>
          </w:p>
        </w:tc>
        <w:tc>
          <w:tcPr>
            <w:tcW w:type="dxa" w:w="636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Top 10–20 suppliers for Scope 3 data engagement — critical for UK SRS S2 supply chain disclosure readiness.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2C2C2C"/>
                <w:sz w:val="19"/>
                <w:szCs w:val="19"/>
              </w:rPr>
              <w:t xml:space="preserve">Internal champion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A named contact to coordinate access and review outputs (2–3 hours/week).</w:t>
            </w:r>
          </w:p>
        </w:tc>
      </w:tr>
      <w:tr>
        <w:tc>
          <w:tcPr>
            <w:tcW w:type="dxa" w:w="5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5</w:t>
            </w:r>
          </w:p>
        </w:tc>
        <w:tc>
          <w:tcPr>
            <w:tcW w:type="dxa" w:w="250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bCs/>
                <w:color w:val="2C2C2C"/>
                <w:sz w:val="19"/>
                <w:szCs w:val="19"/>
              </w:rPr>
              <w:t xml:space="preserve">Director sponsor</w:t>
            </w:r>
          </w:p>
        </w:tc>
        <w:tc>
          <w:tcPr>
            <w:tcW w:type="dxa" w:w="6360"/>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2C"/>
                <w:sz w:val="19"/>
                <w:szCs w:val="19"/>
              </w:rPr>
              <w:t xml:space="preserve">Senior sign-off for CRP publication — required by PPN 006 Technical Standard and NHS Evergreen.</w:t>
            </w:r>
          </w:p>
        </w:tc>
      </w:tr>
    </w:tbl>
    <w:p>
      <w:pPr>
        <w:spacing w:after="80" w:before="80"/>
        <w:jc w:val="left"/>
      </w:pPr>
      <w:r>
        <w:rPr>
          <w:rFonts w:ascii="Arial" w:cs="Arial" w:eastAsia="Arial" w:hAnsi="Arial"/>
          <w:b w:val="false"/>
          <w:bCs w:val="false"/>
          <w:color w:val="2C2C2C"/>
          <w:sz w:val="22"/>
          <w:szCs w:val="22"/>
        </w:rPr>
        <w:t xml:space="preserve"/>
      </w:r>
    </w:p>
    <w:p>
      <w:pPr>
        <w:pStyle w:val="Heading2"/>
        <w:spacing w:after="80" w:before="200"/>
      </w:pPr>
      <w:r>
        <w:rPr>
          <w:rFonts w:ascii="Arial" w:cs="Arial" w:eastAsia="Arial" w:hAnsi="Arial"/>
          <w:b/>
          <w:bCs/>
          <w:color w:val="2E8B57"/>
          <w:sz w:val="24"/>
          <w:szCs w:val="24"/>
        </w:rPr>
        <w:t xml:space="preserve">Proposed Next Steps</w:t>
      </w:r>
    </w:p>
    <w:p>
      <w:pPr>
        <w:spacing w:after="80" w:before="80"/>
        <w:jc w:val="left"/>
      </w:pPr>
      <w:r>
        <w:rPr>
          <w:rFonts w:ascii="Arial" w:cs="Arial" w:eastAsia="Arial" w:hAnsi="Arial"/>
          <w:b w:val="false"/>
          <w:bCs w:val="false"/>
          <w:color w:val="2C2C2C"/>
          <w:sz w:val="22"/>
          <w:szCs w:val="22"/>
        </w:rPr>
        <w:t xml:space="preserve"/>
      </w:r>
    </w:p>
    <w:p>
      <w:pPr>
        <w:pStyle w:val="ListParagraph"/>
        <w:numPr>
          <w:ilvl w:val="0"/>
          <w:numId w:val="3"/>
        </w:numPr>
        <w:spacing w:after="60" w:before="60"/>
      </w:pPr>
      <w:r>
        <w:rPr>
          <w:rFonts w:ascii="Arial" w:cs="Arial" w:eastAsia="Arial" w:hAnsi="Arial"/>
          <w:sz w:val="22"/>
          <w:szCs w:val="22"/>
        </w:rPr>
        <w:t xml:space="preserve">Discovery call — Review this proposal, answer questions, discuss your specific compliance needs, including PPN 006 status and NHS supply chain obligations.</w:t>
      </w:r>
    </w:p>
    <w:p>
      <w:pPr>
        <w:pStyle w:val="ListParagraph"/>
        <w:numPr>
          <w:ilvl w:val="0"/>
          <w:numId w:val="3"/>
        </w:numPr>
        <w:spacing w:after="60" w:before="60"/>
      </w:pPr>
      <w:r>
        <w:rPr>
          <w:rFonts w:ascii="Arial" w:cs="Arial" w:eastAsia="Arial" w:hAnsi="Arial"/>
          <w:sz w:val="22"/>
          <w:szCs w:val="22"/>
        </w:rPr>
        <w:t xml:space="preserve">Technical scoping — Map your systems, identify integration points, and conduct a UK SRS / NHS Evergreen readiness gap assessment.</w:t>
      </w:r>
    </w:p>
    <w:p>
      <w:pPr>
        <w:pStyle w:val="ListParagraph"/>
        <w:numPr>
          <w:ilvl w:val="0"/>
          <w:numId w:val="3"/>
        </w:numPr>
        <w:spacing w:after="60" w:before="60"/>
      </w:pPr>
      <w:r>
        <w:rPr>
          <w:rFonts w:ascii="Arial" w:cs="Arial" w:eastAsia="Arial" w:hAnsi="Arial"/>
          <w:sz w:val="22"/>
          <w:szCs w:val="22"/>
        </w:rPr>
        <w:t xml:space="preserve">Pilot kick-off — Onboard your team, connect systems, and activate the Carbon Auditor agent.</w:t>
      </w:r>
    </w:p>
    <w:p>
      <w:pPr>
        <w:pStyle w:val="ListParagraph"/>
        <w:numPr>
          <w:ilvl w:val="0"/>
          <w:numId w:val="3"/>
        </w:numPr>
        <w:spacing w:after="60" w:before="60"/>
      </w:pPr>
      <w:r>
        <w:rPr>
          <w:rFonts w:ascii="Arial" w:cs="Arial" w:eastAsia="Arial" w:hAnsi="Arial"/>
          <w:sz w:val="22"/>
          <w:szCs w:val="22"/>
        </w:rPr>
        <w:t xml:space="preserve">Pilot review — At week 12, review outcomes, assess ROI, and agree on full deployment plan including SBTi submission and UK SRS disclosure roadmap.</w:t>
      </w:r>
    </w:p>
    <w:p>
      <w:pPr>
        <w:spacing w:after="80" w:before="80"/>
        <w:jc w:val="left"/>
      </w:pPr>
      <w:r>
        <w:rPr>
          <w:rFonts w:ascii="Arial" w:cs="Arial" w:eastAsia="Arial" w:hAnsi="Arial"/>
          <w:b w:val="false"/>
          <w:bCs w:val="false"/>
          <w:color w:val="2C2C2C"/>
          <w:sz w:val="22"/>
          <w:szCs w:val="22"/>
        </w:rPr>
        <w:t xml:space="preserve"/>
      </w:r>
    </w:p>
    <w:p>
      <w:r>
        <w:br w:type="page"/>
      </w:r>
    </w:p>
    <w:p>
      <w:pPr>
        <w:pStyle w:val="Heading1"/>
        <w:pBdr>
          <w:bottom w:val="single" w:color="2E8B57" w:sz="4" w:space="4"/>
        </w:pBdr>
        <w:spacing w:after="120" w:before="320"/>
      </w:pPr>
      <w:r>
        <w:rPr>
          <w:rFonts w:ascii="Arial" w:cs="Arial" w:eastAsia="Arial" w:hAnsi="Arial"/>
          <w:b/>
          <w:bCs/>
          <w:color w:val="1A5C38"/>
          <w:sz w:val="28"/>
          <w:szCs w:val="28"/>
        </w:rPr>
        <w:t xml:space="preserve">8. About SustainZone</w:t>
      </w:r>
    </w:p>
    <w:p>
      <w:pPr>
        <w:spacing w:after="80" w:before="80"/>
        <w:jc w:val="left"/>
      </w:pPr>
      <w:r>
        <w:rPr>
          <w:rFonts w:ascii="Arial" w:cs="Arial" w:eastAsia="Arial" w:hAnsi="Arial"/>
          <w:b w:val="false"/>
          <w:bCs w:val="false"/>
          <w:color w:val="2C2C2C"/>
          <w:sz w:val="22"/>
          <w:szCs w:val="22"/>
        </w:rPr>
        <w:t xml:space="preserve">SustainZone is a sustainability advisory and technology firm helping businesses navigate the transition to net zero. Our expertise spans carbon accounting, compliance strategy, and supply chain sustainability across priority sectors including Healthcare/NHS, Pharmaceuticals, Fashion, Aviation, Construction, and Food &amp; Agriculture.</w:t>
      </w:r>
    </w:p>
    <w:p>
      <w:pPr>
        <w:spacing w:after="80" w:before="80"/>
        <w:jc w:val="left"/>
      </w:pPr>
      <w:r>
        <w:rPr>
          <w:rFonts w:ascii="Arial" w:cs="Arial" w:eastAsia="Arial" w:hAnsi="Arial"/>
          <w:b w:val="false"/>
          <w:bCs w:val="false"/>
          <w:color w:val="2C2C2C"/>
          <w:sz w:val="22"/>
          <w:szCs w:val="22"/>
        </w:rPr>
        <w:t xml:space="preserve"/>
      </w:r>
    </w:p>
    <w:p>
      <w:pPr>
        <w:spacing w:after="80" w:before="80"/>
        <w:jc w:val="left"/>
      </w:pPr>
      <w:r>
        <w:rPr>
          <w:rFonts w:ascii="Arial" w:cs="Arial" w:eastAsia="Arial" w:hAnsi="Arial"/>
          <w:b w:val="false"/>
          <w:bCs w:val="false"/>
          <w:color w:val="2C2C2C"/>
          <w:sz w:val="22"/>
          <w:szCs w:val="22"/>
        </w:rPr>
        <w:t xml:space="preserve">We track the full UK and international sustainability regulatory landscape — including UK SRS, Net Zero policy, NHS Net Zero, PPN 006, SBTi, CSRD/ESRS, CDP, and DEFRA conversion factor updates — ensuring every SustainGate output reflects current requirements, not yesterday's standards.</w:t>
      </w:r>
    </w:p>
    <w:p>
      <w:pPr>
        <w:spacing w:after="80" w:before="80"/>
        <w:jc w:val="left"/>
      </w:pPr>
      <w:r>
        <w:rPr>
          <w:rFonts w:ascii="Arial" w:cs="Arial" w:eastAsia="Arial" w:hAnsi="Arial"/>
          <w:b w:val="false"/>
          <w:bCs w:val="false"/>
          <w:color w:val="2C2C2C"/>
          <w:sz w:val="22"/>
          <w:szCs w:val="22"/>
        </w:rPr>
        <w:t xml:space="preserve"/>
      </w:r>
    </w:p>
    <w:p>
      <w:pPr>
        <w:spacing w:after="80" w:before="80"/>
        <w:jc w:val="left"/>
      </w:pPr>
      <w:r>
        <w:rPr>
          <w:rFonts w:ascii="Arial" w:cs="Arial" w:eastAsia="Arial" w:hAnsi="Arial"/>
          <w:b w:val="false"/>
          <w:bCs w:val="false"/>
          <w:color w:val="2C2C2C"/>
          <w:sz w:val="22"/>
          <w:szCs w:val="22"/>
        </w:rPr>
        <w:t xml:space="preserve">SustainGate represents our platform approach to making sustainability compliance accessible, affordable, and actionable for SMEs — combining deep domain expertise with agentic AI technology.</w:t>
      </w:r>
    </w:p>
    <w:p>
      <w:pPr>
        <w:spacing w:after="80" w:before="80"/>
        <w:jc w:val="left"/>
      </w:pPr>
      <w:r>
        <w:rPr>
          <w:rFonts w:ascii="Arial" w:cs="Arial" w:eastAsia="Arial" w:hAnsi="Arial"/>
          <w:b w:val="false"/>
          <w:bCs w:val="false"/>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1"/>
              <w:bottom w:val="single" w:color="2E8B57" w:sz="1"/>
              <w:right w:val="single" w:color="2E8B57" w:sz="1"/>
            </w:tcBorders>
            <w:shd w:fill="EEF8F2" w:val="clear"/>
            <w:tcMar>
              <w:top w:type="dxa" w:w="80"/>
              <w:left w:type="dxa" w:w="120"/>
              <w:bottom w:type="dxa" w:w="80"/>
              <w:right w:type="dxa" w:w="120"/>
            </w:tcMar>
            <w:vAlign w:val="top"/>
          </w:tcPr>
          <w:p>
            <w:pPr>
              <w:spacing w:after="60" w:before="0"/>
              <w:jc w:val="left"/>
            </w:pPr>
            <w:r>
              <w:rPr>
                <w:rFonts w:ascii="Arial" w:cs="Arial" w:eastAsia="Arial" w:hAnsi="Arial"/>
                <w:b/>
                <w:bCs/>
                <w:color w:val="1A5C38"/>
                <w:sz w:val="22"/>
                <w:szCs w:val="22"/>
              </w:rPr>
              <w:t xml:space="preserve">Contact SustainZone</w:t>
            </w:r>
          </w:p>
          <w:p>
            <w:pPr>
              <w:spacing w:after="30" w:before="30"/>
              <w:jc w:val="left"/>
            </w:pPr>
            <w:r>
              <w:rPr>
                <w:rFonts w:ascii="Arial" w:cs="Arial" w:eastAsia="Arial" w:hAnsi="Arial"/>
                <w:b w:val="false"/>
                <w:bCs w:val="false"/>
                <w:color w:val="2C2C2C"/>
                <w:sz w:val="20"/>
                <w:szCs w:val="20"/>
              </w:rPr>
              <w:t xml:space="preserve">Kevin · SustainZone</w:t>
            </w:r>
          </w:p>
          <w:p>
            <w:pPr>
              <w:spacing w:after="30" w:before="30"/>
              <w:jc w:val="left"/>
            </w:pPr>
            <w:r>
              <w:rPr>
                <w:rFonts w:ascii="Arial" w:cs="Arial" w:eastAsia="Arial" w:hAnsi="Arial"/>
                <w:b w:val="false"/>
                <w:bCs w:val="false"/>
                <w:color w:val="2C2C2C"/>
                <w:sz w:val="20"/>
                <w:szCs w:val="20"/>
              </w:rPr>
              <w:t xml:space="preserve">Email: kevin@mc-commercialsolution.com</w:t>
            </w:r>
          </w:p>
          <w:p>
            <w:pPr>
              <w:spacing w:after="30" w:before="30"/>
              <w:jc w:val="left"/>
            </w:pPr>
            <w:r>
              <w:rPr>
                <w:rFonts w:ascii="Arial" w:cs="Arial" w:eastAsia="Arial" w:hAnsi="Arial"/>
                <w:b w:val="false"/>
                <w:bCs w:val="false"/>
                <w:color w:val="2C2C2C"/>
                <w:sz w:val="20"/>
                <w:szCs w:val="20"/>
              </w:rPr>
              <w:t xml:space="preserve">Web: sustainzone.earth</w:t>
            </w:r>
          </w:p>
        </w:tc>
      </w:tr>
    </w:tbl>
    <w:p>
      <w:pPr>
        <w:spacing w:after="80" w:before="80"/>
        <w:jc w:val="left"/>
      </w:pPr>
      <w:r>
        <w:rPr>
          <w:rFonts w:ascii="Arial" w:cs="Arial" w:eastAsia="Arial" w:hAnsi="Arial"/>
          <w:b w:val="false"/>
          <w:bCs w:val="false"/>
          <w:color w:val="2C2C2C"/>
          <w:sz w:val="22"/>
          <w:szCs w:val="22"/>
        </w:rPr>
        <w:t xml:space="preserve"/>
      </w:r>
    </w:p>
    <w:p>
      <w:pPr>
        <w:spacing w:after="80" w:before="80"/>
        <w:jc w:val="left"/>
      </w:pPr>
      <w:r>
        <w:rPr>
          <w:rFonts w:ascii="Arial" w:cs="Arial" w:eastAsia="Arial" w:hAnsi="Arial"/>
          <w:b w:val="false"/>
          <w:bCs w:val="false"/>
          <w:color w:val="2C2C2C"/>
          <w:sz w:val="22"/>
          <w:szCs w:val="22"/>
        </w:rPr>
        <w:t xml:space="preserve"/>
      </w:r>
    </w:p>
    <w:p>
      <w:pPr>
        <w:spacing w:after="0" w:before="200"/>
        <w:jc w:val="center"/>
      </w:pPr>
      <w:r>
        <w:rPr>
          <w:rFonts w:ascii="Arial" w:cs="Arial" w:eastAsia="Arial" w:hAnsi="Arial"/>
          <w:color w:val="2E8B57"/>
          <w:sz w:val="20"/>
          <w:szCs w:val="20"/>
        </w:rPr>
        <w:t xml:space="preserve">SustainGate — AI-Powered Sustainability Governance for SMEs</w:t>
      </w:r>
    </w:p>
    <w:p>
      <w:pPr>
        <w:spacing w:after="0" w:before="40"/>
        <w:jc w:val="center"/>
      </w:pPr>
      <w:r>
        <w:rPr>
          <w:rFonts w:ascii="Arial" w:cs="Arial" w:eastAsia="Arial" w:hAnsi="Arial"/>
          <w:color w:val="555555"/>
          <w:sz w:val="18"/>
          <w:szCs w:val="18"/>
        </w:rPr>
        <w:t xml:space="preserve">Powered by SustainZone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B57" w:sz="2"/>
      </w:pBdr>
      <w:tabs>
        <w:tab w:val="right" w:pos="9026"/>
      </w:tabs>
      <w:spacing w:before="80"/>
    </w:pPr>
    <w:r>
      <w:rPr>
        <w:rFonts w:ascii="Arial" w:cs="Arial" w:eastAsia="Arial" w:hAnsi="Arial"/>
        <w:color w:val="555555"/>
        <w:sz w:val="16"/>
        <w:szCs w:val="16"/>
      </w:rPr>
      <w:t xml:space="preserve">Confidential  |  SustainZone  |  sustainzone.earth</w:t>
    </w:r>
    <w:r>
      <w:rPr>
        <w:rFonts w:ascii="Arial" w:cs="Arial" w:eastAsia="Arial" w:hAnsi="Arial"/>
        <w:color w:val="555555"/>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57" w:sz="4"/>
      </w:pBdr>
      <w:spacing w:after="0"/>
    </w:pPr>
    <w:r>
      <w:rPr>
        <w:rFonts w:ascii="Arial" w:cs="Arial" w:eastAsia="Arial" w:hAnsi="Arial"/>
        <w:b/>
        <w:bCs/>
        <w:color w:val="1A5C38"/>
        <w:sz w:val="18"/>
        <w:szCs w:val="18"/>
      </w:rPr>
      <w:t xml:space="preserve">SustainGate</w:t>
    </w:r>
    <w:r>
      <w:rPr>
        <w:rFonts w:ascii="Arial" w:cs="Arial" w:eastAsia="Arial" w:hAnsi="Arial"/>
        <w:color w:val="555555"/>
        <w:sz w:val="18"/>
        <w:szCs w:val="18"/>
      </w:rPr>
      <w:t xml:space="preserve">  |  AI-Powered Sustainability Governance for SMEs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5C38"/>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8B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2026-03-09T21:43:38.010Z</dcterms:created>
  <dcterms:modified xsi:type="dcterms:W3CDTF">2026-03-09T21:43:38.011Z</dcterms:modified>
</cp:coreProperties>
</file>

<file path=docProps/custom.xml><?xml version="1.0" encoding="utf-8"?>
<Properties xmlns="http://schemas.openxmlformats.org/officeDocument/2006/custom-properties" xmlns:vt="http://schemas.openxmlformats.org/officeDocument/2006/docPropsVTypes"/>
</file>