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left="2880" w:firstLine="0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Barbabietola (Beta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vulgaris)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barbabietola appartiene alla famiglia delle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henopodiacee.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Come tutte le barbabietole, quella rossa da orto deriva dalla specie selvatica Beta vulgaris che è originaria del bacino del Mediterraneo e delle regioni aride dell’Asia centrale e del Medio Oriente. Da queste zone si è diffusa verso Oriente e verso Occidente fino al Mare del Nord. 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barbabietola da orto necessita di temperature superiori ai 5-6°C per crescere e può sopportare anche i -2°C.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 barbabietola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è una pianta erbacea biennale,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con una radice a fittone tuberiforme, fusti fiorali alti non ramificati, foglie peduncolate con nervatura centrale a lamina allargata che prosegue in un lungo peduncolo largo e carnoso, di colore variabile, bianco crema spesso tendente al rosso; infiorescenze composte con fiori piccoli rossicci o verdi formanti spighe, riunite in pannocchie.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barbabietola è composta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per circa il 90% da acqua, è fonte di proteine, glucidi, fibra alimentare, vitamine (B1, la B2, la B3, tracce di vitamina A, C) e sali minerali quali il sodio, il potassio, il ferro, il calcio ed il fosforo. Ha 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highlight w:val="white"/>
          <w:rtl w:val="0"/>
        </w:rPr>
        <w:t xml:space="preserve">proprietà digestive e depurative, ed effetti curativi sulla pelle e sul corpo in generale.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Gli scarti di lavorazione della Barbabietola vengono utilizzati per la produzione di materie plastiche biodegradabili.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colore rossa della barbabietola è spesso associato alla vitalità e alla rigenerazione; in alcune culture simbolo di fertilità e forza vitale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