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ind w:left="2160" w:firstLine="720"/>
        <w:jc w:val="left"/>
        <w:rPr>
          <w:rFonts w:ascii="Comic Sans MS" w:cs="Comic Sans MS" w:eastAsia="Comic Sans MS" w:hAnsi="Comic Sans MS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a3a3a"/>
          <w:highlight w:val="white"/>
          <w:rtl w:val="0"/>
        </w:rPr>
        <w:t xml:space="preserve">Borragine</w:t>
      </w: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a3a3a"/>
          <w:highlight w:val="white"/>
          <w:rtl w:val="0"/>
        </w:rPr>
        <w:t xml:space="preserve">Borago officinalis</w:t>
      </w: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 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rFonts w:ascii="Comic Sans MS" w:cs="Comic Sans MS" w:eastAsia="Comic Sans MS" w:hAnsi="Comic Sans MS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Comic Sans MS" w:cs="Comic Sans MS" w:eastAsia="Comic Sans MS" w:hAnsi="Comic Sans MS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Il nome Borragine deriva dall’arabo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a3a3a"/>
          <w:highlight w:val="white"/>
          <w:rtl w:val="0"/>
        </w:rPr>
        <w:t xml:space="preserve">abou rach</w:t>
      </w: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 e significa padre del sudore, con riferimento alle proprietà sudoripare della pianta. Per altri deriva da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a3a3a"/>
          <w:highlight w:val="white"/>
          <w:rtl w:val="0"/>
        </w:rPr>
        <w:t xml:space="preserve">borra</w:t>
      </w: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, tessuto di lana ruvido,  per la fitta peluria presente sulla pianta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rFonts w:ascii="Comic Sans MS" w:cs="Comic Sans MS" w:eastAsia="Comic Sans MS" w:hAnsi="Comic Sans MS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la Borragine appartiene alla famiglia delle  </w:t>
      </w: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boraginacee; è originaria del bacino del Mediterraneo, oggi è presente in molti paesi trovandosi un po’ dovunque dai luoghi coltivati, ai luoghi incolti e aridi, alle zone ruderali, lungo i sentieri e nei bordi delle strade; è molto diffusa in Sardegna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rFonts w:ascii="Comic Sans MS" w:cs="Comic Sans MS" w:eastAsia="Comic Sans MS" w:hAnsi="Comic Sans MS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La borragine è una pianta erbacea annuale alta 20-60 cm. Caratterizzata da foglie di forma ovata e da fiori stellati, che bocciano da marzo all’estate, di colore azzurro-violetto, e, più raramente, bianchi. Il frutto è un achenio. Tutte le parti della pianta sono coperte di setole biancastre. Si raccoglie da marzo a settembre, si utilizzano fiori, foglie e steli.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rFonts w:ascii="Comic Sans MS" w:cs="Comic Sans MS" w:eastAsia="Comic Sans MS" w:hAnsi="Comic Sans MS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La borragine  contiene mucillagini, antociani, nitrato di potassio (che conferisce la proprietà diuretica), tannini, olio essenziale, acidi grassi insaturi, alcaloidi pirrolizidinici che possono avere carattere epatotossico.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rFonts w:ascii="Comic Sans MS" w:cs="Comic Sans MS" w:eastAsia="Comic Sans MS" w:hAnsi="Comic Sans MS"/>
          <w:b w:val="1"/>
          <w:color w:val="3a3a3a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a3a3a"/>
          <w:highlight w:val="white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rFonts w:ascii="Comic Sans MS" w:cs="Comic Sans MS" w:eastAsia="Comic Sans MS" w:hAnsi="Comic Sans MS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Nella medicina popolare sarda le foglie e i fiori di borragine vengono utilizzati per la preparazione di decotti e tisane dalle proprietà diuretiche, depurative, sudorifere, emollienti nelle vie respiratorie (raffreddori e bronchiti) e sedative della tosse. I cataplasmi di foglia sono ritenuti utili nella cura di eczemi e malattie della pelle.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L’uso terapeutico e culinario nella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a3a3a"/>
          <w:highlight w:val="white"/>
          <w:rtl w:val="0"/>
        </w:rPr>
        <w:t xml:space="preserve">Borrago officinalis</w:t>
      </w: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3a3a3a"/>
          <w:highlight w:val="white"/>
          <w:rtl w:val="0"/>
        </w:rPr>
        <w:t xml:space="preserve">è attualmente sconsigliato</w:t>
      </w: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, per la presenta nelle foglie e nei fiori di alcaloidi pirrolizidinici, sostanze con attività epatotossica e potenzialmente cancerogene.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="301.09090909090907" w:lineRule="auto"/>
        <w:rPr>
          <w:rFonts w:ascii="Comic Sans MS" w:cs="Comic Sans MS" w:eastAsia="Comic Sans MS" w:hAnsi="Comic Sans MS"/>
          <w:b w:val="1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a3a3a"/>
          <w:highlight w:val="white"/>
          <w:u w:val="single"/>
          <w:rtl w:val="0"/>
        </w:rPr>
        <w:t xml:space="preserve">Curiosità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01.09090909090907" w:lineRule="auto"/>
        <w:rPr>
          <w:rFonts w:ascii="Comic Sans MS" w:cs="Comic Sans MS" w:eastAsia="Comic Sans MS" w:hAnsi="Comic Sans MS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La borragine viene chiamata anche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a3a3a"/>
          <w:highlight w:val="white"/>
          <w:rtl w:val="0"/>
        </w:rPr>
        <w:t xml:space="preserve">succiameli </w:t>
      </w: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perché,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a3a3a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sin dall’antichità, i bambini e i ragazzini usavano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a3a3a"/>
          <w:highlight w:val="white"/>
          <w:rtl w:val="0"/>
        </w:rPr>
        <w:t xml:space="preserve">succhiare</w:t>
      </w: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 il fiore, nettarifero e con un buon sapore zuccherino.</w:t>
      </w:r>
    </w:p>
    <w:p w:rsidR="00000000" w:rsidDel="00000000" w:rsidP="00000000" w:rsidRDefault="00000000" w:rsidRPr="00000000" w14:paraId="0000000D">
      <w:pPr>
        <w:spacing w:after="160" w:line="301.09090909090907" w:lineRule="auto"/>
        <w:rPr>
          <w:rFonts w:ascii="Comic Sans MS" w:cs="Comic Sans MS" w:eastAsia="Comic Sans MS" w:hAnsi="Comic Sans MS"/>
          <w:color w:val="3a3a3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Nel </w:t>
      </w: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Mago di Oz,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3a3a3a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a3a3a"/>
          <w:highlight w:val="white"/>
          <w:rtl w:val="0"/>
        </w:rPr>
        <w:t xml:space="preserve">la borragine è citata come base di una pozione grazie alla quale il leone codardo ritrova il suo coraggio.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