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CETRIOLO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(Cucumis sativus)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cetriolo è un ortaggio di origine indiana, appartenente alla famiglia delle Cucurbuitacee.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Esistono diverse varietà di cetrioli da coltivare che si differenziano per la dimensione del frutto maturo, per il colore (dal verde chiaro al verde scuro), per la forma e per le caratteristiche proprie della coltivazione (cioè rampicante, strisciante, nano…).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cetriolo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 predilige un clima temperato-caldo;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shd w:fill="fafafa" w:val="clear"/>
          <w:rtl w:val="0"/>
        </w:rPr>
        <w:t xml:space="preserve">si adatta abbastanza ai diversi suoli, ma preferisce un terreno costantemente umido, drenante, ben esposto al sole, ricco di sostanze nutritive e tendente all’acido.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trapianto in terra può avvenire a partire dal mese di aprile, preferibilmente nella seconda metà, quando è scongiurato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il periodo di gelate.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È utile consociare i cetrioli con i fagiolini o con i fagioli, mettendo quest’ultimi all’esterno del campo (con i cetrioli al centro): le piante avranno vantaggi reciproci in termini di aerazione del terreno e di esposizione alla luce.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Per coltivare i cetrioli è utile la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pacciamatura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un elevato apporto idrico, che si può ottenere utilizzando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l’irrigazione a goccia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la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potatura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che può essere di due tipi: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- eliminare i getti laterali più deboli e rovinati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, per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dare più forza al tronco centrale, soprattutto nella fase iniziale della coltivazione.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- cimare gli apici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nella seconda parte della crescita vegetativa della pianta. Si effettua soprattutto in caso di varietà rampicanti, per evitare che la pianta si allunghi troppo in altezza e per dare più forza ai fiori nella parte centrale della pianta, che sono quelli più produttivi.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Non bisogna lasciar troppo il frutto in crescita sulla pianta. Questo perché un’eccessiva maturazione porta al suo ingrossamento e ingiallimento. Una volta ingrossato il cetriolo tende a riempirsi di semi dal sapore acido che lo rendono meno digeribile e meno gustoso. Meglio raccogliere un cetriolo più piccolo, ma migliore dal punto di vista qualitativo.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 cetrioli, tipico frutto estivo, sono ricchissim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di acqua, vitamine e minerali.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 cetrioli aiutano ad idratare il corpo, a reintegrare i minerali persi con il sudore durante una corsa e a saziare il corpo, riducendo l’appetito; sono anche un alimento diuretico, potenziano il sistema immunitario, aiutano l’organismo umano a produrre più urina e combattono la ritenzione idrica.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Contengono antiossidanti anti-cancro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i ricercatori dell’Università di Valencia in Spagna hanno scoperto che gli antiossidanti delle cucurbitacine possono indurre la morte delle cellule cancerose.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La 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polpa di cetriolo fresco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 è utilizzata per nutrire la pelle danneggiata, secca e sensibile; le fettine di cetriolo applicate direttamente sulla pelle hanno un effetto lenitivo e riducono il gonfiore, il rossore, le borse e le occhiaie. Inoltre, il cetriolo è un valido rimedio naturale per combattere l’acne, per eliminare le cicatrici e le altre imperfezioni. I cetrioli hanno anche il potere di rilassare e di alleviare il dolore dopo una scottatura, apportando un netto sollievo.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Le cucurbitacine contenute nella polpa fresca del cetriolo hanno effetti citotossici, epatoprotettivi, cardiovascolari e antidiabetici, riducono il livello di colesterolo totale e a bassa densità della lipoproteina (LDL), oltre a contribuire ad un netto miglioramento dei livelli di pressione sanguigna.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Cetriolo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si dice che l'imperatore romano Tiberio fosse ghiotto di cetrioli e che avesse incoraggiato metodi di coltivazione per garantirne l'approvvigionamento.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mic Sans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ef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Carpredefinitoparagrafo"/>
    <w:rsid w:val="000334FE"/>
  </w:style>
  <w:style w:type="character" w:styleId="Enfasicorsivo">
    <w:name w:val="Emphasis"/>
    <w:basedOn w:val="Carpredefinitoparagrafo"/>
    <w:uiPriority w:val="20"/>
    <w:qFormat w:val="1"/>
    <w:rsid w:val="000334FE"/>
    <w:rPr>
      <w:i w:val="1"/>
      <w:iCs w:val="1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0334FE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 w:val="1"/>
    <w:rsid w:val="000334FE"/>
    <w:rPr>
      <w:b w:val="1"/>
      <w:bCs w:val="1"/>
    </w:rPr>
  </w:style>
  <w:style w:type="paragraph" w:styleId="NormaleWeb">
    <w:name w:val="Normal (Web)"/>
    <w:basedOn w:val="Normale"/>
    <w:uiPriority w:val="99"/>
    <w:semiHidden w:val="1"/>
    <w:unhideWhenUsed w:val="1"/>
    <w:rsid w:val="000E390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ltivazionebiologica.it/attrezzi-per-la-potatura/" TargetMode="External"/><Relationship Id="rId8" Type="http://schemas.openxmlformats.org/officeDocument/2006/relationships/hyperlink" Target="https://www.cedior.com/gli-utilizzi-del-cetriolo-in-cucina-e-non-solo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ns5e9ynCY16OKfU2U3+zHY0Yig==">CgMxLjA4AHIhMURXaW5sVlpFR0ZybWJoOTc4WDJab2xMSEFKamtzTUZj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2021-08-31T14:10:00Z</dcterms:created>
  <dc:creator>Romano Zanon</dc:creator>
</cp:coreProperties>
</file>