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cs="Calibri" w:eastAsia="Calibri"/>
          <w:b/>
          <w:i w:val="0"/>
          <w:color w:val="1E88E5"/>
          <w:sz w:val="22"/>
        </w:rPr>
        <w:t>InTechSol  ·  intechsol.ge</w:t>
      </w:r>
    </w:p>
    <w:p>
      <w:pPr>
        <w:spacing w:after="520" w:before="0"/>
        <w:jc w:val="center"/>
      </w:pPr>
      <w:r>
        <w:rPr>
          <w:rFonts w:ascii="Calibri" w:hAnsi="Calibri" w:cs="Calibri" w:eastAsia="Calibri"/>
          <w:b w:val="0"/>
          <w:i w:val="0"/>
          <w:color w:val="555B66"/>
          <w:sz w:val="20"/>
        </w:rPr>
        <w:t>Партнёр: Alait Limited — COMRAD  ·  www.alait.pro</w:t>
      </w:r>
    </w:p>
    <w:p>
      <w:pPr>
        <w:spacing w:after="120" w:before="0"/>
        <w:jc w:val="center"/>
      </w:pPr>
      <w:r>
        <w:rPr>
          <w:rFonts w:ascii="Calibri" w:hAnsi="Calibri" w:cs="Calibri" w:eastAsia="Calibri"/>
          <w:b/>
          <w:i w:val="0"/>
          <w:color w:val="1E88E5"/>
          <w:sz w:val="24"/>
        </w:rPr>
        <w:t>Совместная презентация</w:t>
      </w:r>
    </w:p>
    <w:p>
      <w:pPr>
        <w:spacing w:after="120"/>
        <w:jc w:val="center"/>
      </w:pPr>
      <w:r>
        <w:rPr>
          <w:rFonts w:ascii="Calibri" w:hAnsi="Calibri" w:cs="Calibri" w:eastAsia="Calibri"/>
          <w:b/>
          <w:i w:val="0"/>
          <w:color w:val="142453"/>
          <w:sz w:val="52"/>
        </w:rPr>
        <w:t>Цифровой надзор и</w:t>
        <w:br/>
        <w:t>критические коммуникации</w:t>
      </w:r>
    </w:p>
    <w:p>
      <w:pPr>
        <w:spacing w:after="440" w:before="0"/>
        <w:jc w:val="center"/>
      </w:pPr>
      <w:r>
        <w:rPr>
          <w:rFonts w:ascii="Calibri" w:hAnsi="Calibri" w:cs="Calibri" w:eastAsia="Calibri"/>
          <w:b/>
          <w:i w:val="0"/>
          <w:color w:val="1E88E5"/>
          <w:sz w:val="28"/>
        </w:rPr>
        <w:t>SPInTechSol  ×  COMRAD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7937"/>
            <w:shd w:val="clear" w:color="auto" w:fill="EAF2FB"/>
            <w:tcMar>
              <w:top w:w="180" w:type="dxa"/>
              <w:bottom w:w="180" w:type="dxa"/>
              <w:start w:w="260" w:type="dxa"/>
              <w:end w:w="260" w:type="dxa"/>
              <w:left w:w="260" w:type="dxa"/>
              <w:right w:w="26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2"/>
              </w:rPr>
              <w:t xml:space="preserve">Дата: 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2"/>
              </w:rPr>
              <w:t>25 сентября 2026 г., пятница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2"/>
              </w:rPr>
              <w:t xml:space="preserve">Время: 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2"/>
              </w:rPr>
              <w:t>10:00 – 16:30 (регистрация с 09:30)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2"/>
              </w:rPr>
              <w:t xml:space="preserve">Место: 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2"/>
              </w:rPr>
              <w:t>Тбилиси, [конференц-зал отеля — уточняется]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2"/>
              </w:rPr>
              <w:t xml:space="preserve">Формат: 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2"/>
              </w:rPr>
              <w:t>Презентация + демонстрация оборудования + B2B-встречи</w:t>
            </w:r>
          </w:p>
        </w:tc>
      </w:tr>
    </w:tbl>
    <w:p>
      <w:pPr>
        <w:spacing w:after="360" w:before="0"/>
      </w:pPr>
      <w:r>
        <w:rPr>
          <w:rFonts w:ascii="Calibri" w:hAnsi="Calibri" w:cs="Calibri" w:eastAsia="Calibri"/>
          <w:b w:val="0"/>
          <w:i w:val="0"/>
          <w:sz w:val="21"/>
        </w:rPr>
      </w:r>
    </w:p>
    <w:p>
      <w:pPr>
        <w:spacing w:after="40" w:before="0"/>
        <w:jc w:val="center"/>
      </w:pPr>
      <w:r>
        <w:rPr>
          <w:rFonts w:ascii="Calibri" w:hAnsi="Calibri" w:cs="Calibri" w:eastAsia="Calibri"/>
          <w:b/>
          <w:i w:val="0"/>
          <w:color w:val="142453"/>
          <w:sz w:val="24"/>
        </w:rPr>
        <w:t>Программа мероприятия</w:t>
      </w:r>
    </w:p>
    <w:p>
      <w:pPr>
        <w:spacing w:after="120" w:before="0"/>
        <w:jc w:val="center"/>
      </w:pPr>
      <w:r>
        <w:rPr>
          <w:rFonts w:ascii="Calibri" w:hAnsi="Calibri" w:cs="Calibri" w:eastAsia="Calibri"/>
          <w:b w:val="0"/>
          <w:i w:val="0"/>
          <w:color w:val="555B66"/>
          <w:sz w:val="18"/>
        </w:rPr>
        <w:t>© 2026 InTechSol · SPInTechSol. Все права защищены.</w:t>
      </w:r>
    </w:p>
    <w:p>
      <w:r>
        <w:br w:type="page"/>
      </w:r>
    </w:p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142453"/>
          <w:sz w:val="36"/>
        </w:rPr>
        <w:t>Программа мероприятия</w:t>
      </w:r>
    </w:p>
    <w:p>
      <w:pPr>
        <w:spacing w:after="200" w:before="0"/>
      </w:pPr>
      <w:r>
        <w:rPr>
          <w:rFonts w:ascii="Calibri" w:hAnsi="Calibri" w:cs="Calibri" w:eastAsia="Calibri"/>
          <w:b w:val="0"/>
          <w:i w:val="0"/>
          <w:color w:val="555B66"/>
          <w:sz w:val="21"/>
        </w:rPr>
        <w:t>25 сентября 2026 г., пятница · Тбилиси. Спикеры: Лаша Шаламберидзе (InTechSol) и представитель компании Alait Limited.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09:30 – 10:00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Регистрация гостей и приветственный кофе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10:00 – 10:15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1"/>
              </w:rPr>
              <w:t>Открытие и приветствие — Лаша Шаламберидзе (InTechSol)</w:t>
            </w:r>
          </w:p>
        </w:tc>
      </w:tr>
      <w:tr>
        <w:tc>
          <w:tcPr>
            <w:tcW w:type="dxa" w:w="9972"/>
            <w:gridSpan w:val="2"/>
            <w:shd w:val="clear" w:color="auto" w:fill="142453"/>
            <w:tcMar>
              <w:top w:w="80" w:type="dxa"/>
              <w:bottom w:w="8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2"/>
              </w:rPr>
              <w:t>Часть I — Государственный сектор (ведомства)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10:15 – 10:45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SPInTechSol — цифровая платформа надзора для мониторинга инфраструктурных проектов (Лаша Шаламберидзе)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10:45 – 11:20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COMRAD — профессиональные критические коммуникации и рации; система управления и надзора (представитель Alait Limited)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11:20 – 11:40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Вопросы и ответы — государственный сектор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11:40 – 12:00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Кофе-пауза</w:t>
            </w:r>
          </w:p>
        </w:tc>
      </w:tr>
      <w:tr>
        <w:tc>
          <w:tcPr>
            <w:tcW w:type="dxa" w:w="9972"/>
            <w:gridSpan w:val="2"/>
            <w:shd w:val="clear" w:color="auto" w:fill="142453"/>
            <w:tcMar>
              <w:top w:w="80" w:type="dxa"/>
              <w:bottom w:w="8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2"/>
              </w:rPr>
              <w:t>Часть II — Частный сектор (строительные компании, отели)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12:00 – 12:30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SPInTechSol для строительного, дорожного и инфраструктурного сектора — практические сценарии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12:30 – 13:05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COMRAD для отелей, строительства, логистики и безопасности; обзор раций и оборудования (представитель Alait Limited)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13:05 – 13:25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Вопросы и ответы — частный сектор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13:25 – 14:15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Сетевой обед / фуршет и живая демонстрация оборудования</w:t>
            </w:r>
          </w:p>
        </w:tc>
      </w:tr>
      <w:tr>
        <w:tc>
          <w:tcPr>
            <w:tcW w:type="dxa" w:w="9972"/>
            <w:gridSpan w:val="2"/>
            <w:shd w:val="clear" w:color="auto" w:fill="142453"/>
            <w:tcMar>
              <w:top w:w="80" w:type="dxa"/>
              <w:bottom w:w="8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2"/>
              </w:rPr>
              <w:t>Часть III — B2B-встречи (4 группы)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14:15 – 16:15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Индивидуальные B2B-встречи — 4 группы за параллельными столами (каждая сессия ~25–30 мин, по ротации)</w:t>
            </w:r>
          </w:p>
        </w:tc>
      </w:tr>
      <w:tr>
        <w:tc>
          <w:tcPr>
            <w:tcW w:type="dxa" w:w="17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E88E5"/>
                <w:sz w:val="21"/>
              </w:rPr>
              <w:t>16:15 – 16:30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1"/>
              </w:rPr>
              <w:t>Подведение итогов, согласование дальнейших шагов и закрытие</w:t>
            </w:r>
          </w:p>
        </w:tc>
      </w:tr>
    </w:tbl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Формат B2B-встреч — 4 группы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После обеда гости делятся на 4 тематические группы. Каждая группа проводит отдельную встречу за своим столом с командами InTechSol и Alait — для обсуждения конкретных задач, пилотного проекта и стоимости.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Группа 1 — </w:t>
      </w:r>
      <w:r>
        <w:rPr>
          <w:rFonts w:ascii="Calibri" w:hAnsi="Calibri" w:cs="Calibri" w:eastAsia="Calibri"/>
          <w:b w:val="0"/>
          <w:i w:val="0"/>
          <w:sz w:val="21"/>
        </w:rPr>
        <w:t>Государственные ведомства — мониторинг инфраструктуры, технический надзор, межведомственная связь.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Группа 2 — </w:t>
      </w:r>
      <w:r>
        <w:rPr>
          <w:rFonts w:ascii="Calibri" w:hAnsi="Calibri" w:cs="Calibri" w:eastAsia="Calibri"/>
          <w:b w:val="0"/>
          <w:i w:val="0"/>
          <w:sz w:val="21"/>
        </w:rPr>
        <w:t>Строительные и дорожные компании — цифровой контроль объектов, чек-листы, полевая связь по рации.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Группа 3 — </w:t>
      </w:r>
      <w:r>
        <w:rPr>
          <w:rFonts w:ascii="Calibri" w:hAnsi="Calibri" w:cs="Calibri" w:eastAsia="Calibri"/>
          <w:b w:val="0"/>
          <w:i w:val="0"/>
          <w:sz w:val="21"/>
        </w:rPr>
        <w:t>Отели и гостеприимство — координация персонала, PTT-связь, безопасность и управление мероприятиями.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Группа 4 — </w:t>
      </w:r>
      <w:r>
        <w:rPr>
          <w:rFonts w:ascii="Calibri" w:hAnsi="Calibri" w:cs="Calibri" w:eastAsia="Calibri"/>
          <w:b w:val="0"/>
          <w:i w:val="0"/>
          <w:sz w:val="21"/>
        </w:rPr>
        <w:t>Инженерные, охранные и логистические фирмы — инспекция по FIDIC, диспетчеризация, групповая связь.</w:t>
      </w:r>
    </w:p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Организационные примечания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Время указано приблизительно и может незначительно измениться в день мероприятия.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Живая демонстрация оборудования (рации / терминалы COMRAD) доступна в течение всего дня в демо-зоне.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Информационный буклет выдаётся каждому гостю на грузинском и русском языках.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Количество мест на B2B-встречах ограничено — желательна предварительная регистрация.</w:t>
      </w:r>
    </w:p>
    <w:p>
      <w:pPr>
        <w:spacing w:after="200" w:before="0"/>
      </w:pPr>
      <w:r>
        <w:rPr>
          <w:rFonts w:ascii="Calibri" w:hAnsi="Calibri" w:cs="Calibri" w:eastAsia="Calibri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Calibri" w:hAnsi="Calibri" w:cs="Calibri" w:eastAsia="Calibri"/>
          <w:b w:val="0"/>
          <w:i w:val="0"/>
          <w:color w:val="555B66"/>
          <w:sz w:val="19"/>
        </w:rPr>
        <w:t>InTechSol · intechsol.ge   |   Alait Limited · www.alait.pro · info@alait.pro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