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5BA9" w14:textId="77777777" w:rsidR="000D0AEA" w:rsidRDefault="000D0AEA">
      <w:pPr>
        <w:pBdr>
          <w:top w:val="single" w:sz="18" w:space="0" w:color="C8102E"/>
        </w:pBdr>
      </w:pPr>
    </w:p>
    <w:p w14:paraId="5DEF1195" w14:textId="77777777" w:rsidR="000D0AEA" w:rsidRDefault="00423AFC">
      <w:pPr>
        <w:spacing w:after="80"/>
      </w:pPr>
      <w:r>
        <w:rPr>
          <w:b/>
          <w:bCs/>
          <w:smallCaps/>
          <w:color w:val="94A3B8"/>
          <w:sz w:val="18"/>
          <w:szCs w:val="18"/>
        </w:rPr>
        <w:t>INSTRUCTIONAL DESIGN RATIONALE</w:t>
      </w:r>
    </w:p>
    <w:p w14:paraId="378268AF" w14:textId="77777777" w:rsidR="000D0AEA" w:rsidRDefault="00423AFC">
      <w:r>
        <w:rPr>
          <w:b/>
          <w:bCs/>
          <w:color w:val="1A3A5C"/>
          <w:sz w:val="40"/>
          <w:szCs w:val="40"/>
        </w:rPr>
        <w:t>Cell Division Gone Wrong:</w:t>
      </w:r>
    </w:p>
    <w:p w14:paraId="20F6C191" w14:textId="77777777" w:rsidR="000D0AEA" w:rsidRDefault="00423AFC">
      <w:r>
        <w:rPr>
          <w:color w:val="0E7C86"/>
          <w:sz w:val="28"/>
          <w:szCs w:val="28"/>
        </w:rPr>
        <w:t>Understanding Cancer at the Cellular Level</w:t>
      </w:r>
    </w:p>
    <w:p w14:paraId="356C8FCC" w14:textId="77777777" w:rsidR="000D0AEA" w:rsidRDefault="000D0AEA">
      <w:pPr>
        <w:spacing w:before="80"/>
      </w:pPr>
    </w:p>
    <w:p w14:paraId="20D560D3" w14:textId="4248C527" w:rsidR="000D0AEA" w:rsidRDefault="00423AFC">
      <w:r>
        <w:rPr>
          <w:color w:val="64748B"/>
          <w:sz w:val="20"/>
          <w:szCs w:val="20"/>
        </w:rPr>
        <w:t>An NGSS standards-aligned instructional module for Grades 9–10 · STEM Education &amp; Outreach</w:t>
      </w:r>
    </w:p>
    <w:p w14:paraId="34F03EB8" w14:textId="77777777" w:rsidR="000D0AEA" w:rsidRDefault="000D0AEA">
      <w:pPr>
        <w:spacing w:before="80"/>
      </w:pPr>
    </w:p>
    <w:p w14:paraId="7FA2D7EE" w14:textId="55CBD96D" w:rsidR="000D0AEA" w:rsidRDefault="00423AFC">
      <w:r>
        <w:rPr>
          <w:color w:val="64748B"/>
          <w:sz w:val="20"/>
          <w:szCs w:val="20"/>
        </w:rPr>
        <w:t>Prepared by LaShaudra Cox · Instructional Designer</w:t>
      </w:r>
    </w:p>
    <w:p w14:paraId="0D4FA063" w14:textId="77777777" w:rsidR="000D0AEA" w:rsidRDefault="000D0AEA">
      <w:pPr>
        <w:pBdr>
          <w:bottom w:val="single" w:sz="4" w:space="0" w:color="D1E4F0"/>
        </w:pBdr>
      </w:pPr>
    </w:p>
    <w:p w14:paraId="2012279F" w14:textId="5ACF00B2" w:rsidR="000D0AEA" w:rsidRDefault="00423AFC" w:rsidP="00ED03C6">
      <w:pPr>
        <w:spacing w:line="276" w:lineRule="auto"/>
      </w:pPr>
      <w:r>
        <w:rPr>
          <w:color w:val="1E293B"/>
        </w:rPr>
        <w:t>This document explains the theoretical and empirical foundations underlying each deliverable in this module. Every design decision, from the structure of the digital lesson to the layout of the guided notes to the architecture of the checkpoint simulator, was made intentionally, in service of the learning objective and the students who will encounter it. The goal of this rationale is to make those decisions visible and defensible.</w:t>
      </w:r>
    </w:p>
    <w:p w14:paraId="7386CB8F" w14:textId="525A8441" w:rsidR="000D0AEA" w:rsidRDefault="00423AFC">
      <w:pPr>
        <w:pBdr>
          <w:bottom w:val="single" w:sz="4" w:space="0" w:color="1A3A5C"/>
        </w:pBdr>
        <w:spacing w:before="320" w:after="80"/>
      </w:pPr>
      <w:r>
        <w:rPr>
          <w:b/>
          <w:bCs/>
          <w:smallCaps/>
          <w:color w:val="0E7C86"/>
          <w:sz w:val="17"/>
          <w:szCs w:val="17"/>
        </w:rPr>
        <w:t>01 The System-Level Framework</w:t>
      </w:r>
    </w:p>
    <w:p w14:paraId="153C341F" w14:textId="77777777" w:rsidR="000D0AEA" w:rsidRDefault="00423AFC">
      <w:pPr>
        <w:spacing w:before="80" w:after="120" w:line="276" w:lineRule="auto"/>
      </w:pPr>
      <w:r>
        <w:rPr>
          <w:color w:val="1E293B"/>
        </w:rPr>
        <w:t>All five deliverables in this module were designed as a coherent instructional system, not a collection of independent activities. Two overarching frameworks guided the architecture of the whole.</w:t>
      </w:r>
    </w:p>
    <w:p w14:paraId="41A856D0" w14:textId="19A94533" w:rsidR="000D0AEA" w:rsidRDefault="00423AFC">
      <w:pPr>
        <w:spacing w:before="60" w:after="100" w:line="276" w:lineRule="auto"/>
      </w:pPr>
      <w:r>
        <w:rPr>
          <w:b/>
          <w:bCs/>
          <w:color w:val="1A3A5C"/>
          <w:sz w:val="20"/>
          <w:szCs w:val="20"/>
        </w:rPr>
        <w:t>Flipped Classroom Model.  The module places content delivery online (the digital lesson and simulator) and reserves class time for analysis, discussion, and case-based problem solving. This reflects the well-established principle that face-to-face instructional time is most effectively used for higher-order reasoning, while initial content exposure can occur independently. Debattista (2018) and the broader literature on online and blended learning support this model as particularly effective when the online component includes structured formative assessment, which the exit ticket in this module is designed to provide.</w:t>
      </w:r>
    </w:p>
    <w:p w14:paraId="03B980ED" w14:textId="77777777" w:rsidR="00F05FF2" w:rsidRDefault="00F05FF2">
      <w:pPr>
        <w:spacing w:before="60" w:after="100" w:line="276" w:lineRule="auto"/>
        <w:rPr>
          <w:b/>
          <w:bCs/>
          <w:color w:val="C8102E"/>
          <w:sz w:val="20"/>
          <w:szCs w:val="20"/>
        </w:rPr>
      </w:pPr>
    </w:p>
    <w:p w14:paraId="017EB839" w14:textId="17431641" w:rsidR="000D0AEA" w:rsidRDefault="00423AFC">
      <w:pPr>
        <w:spacing w:before="60" w:after="100" w:line="276" w:lineRule="auto"/>
      </w:pPr>
      <w:r>
        <w:rPr>
          <w:b/>
          <w:bCs/>
          <w:color w:val="C8102E"/>
          <w:sz w:val="20"/>
          <w:szCs w:val="20"/>
        </w:rPr>
        <w:t>Merrill's First Principles of Instruction.  Merrill (2002) argues that learning is most effective, efficient, and engaging when instruction is problem-centered, when learners encounter a real-world problem first and acquire component skills in the context of solving it. This module opens with a pediatric patient (Maya) as the anchor problem and builds every subsequent activity toward analyzing her case. Merrill is explicit: 'the eventual purpose of all instruction is to learn to solve complex problems or complete complex tasks.' The Research Brief summative assessment at the module's end requires exactly this, applying biological reasoning to a new patient profile, without scaffolding.</w:t>
      </w:r>
    </w:p>
    <w:p w14:paraId="756E19ED" w14:textId="77777777" w:rsidR="000D0AEA" w:rsidRDefault="000D0A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0AEA" w14:paraId="517664D9" w14:textId="77777777">
        <w:tc>
          <w:tcPr>
            <w:tcW w:w="9360" w:type="dxa"/>
            <w:tcBorders>
              <w:top w:val="single" w:sz="1" w:space="0" w:color="D1E4F0"/>
              <w:left w:val="single" w:sz="20" w:space="0" w:color="0E7C86"/>
              <w:bottom w:val="single" w:sz="1" w:space="0" w:color="D1E4F0"/>
              <w:right w:val="single" w:sz="1" w:space="0" w:color="D1E4F0"/>
            </w:tcBorders>
            <w:shd w:val="clear" w:color="auto" w:fill="EEF5FB"/>
            <w:tcMar>
              <w:top w:w="120" w:type="dxa"/>
              <w:left w:w="200" w:type="dxa"/>
              <w:bottom w:w="120" w:type="dxa"/>
              <w:right w:w="200" w:type="dxa"/>
            </w:tcMar>
          </w:tcPr>
          <w:p w14:paraId="1BE59449" w14:textId="64D9003D" w:rsidR="000D0AEA" w:rsidRDefault="00423AFC">
            <w:pPr>
              <w:spacing w:line="264" w:lineRule="auto"/>
            </w:pPr>
            <w:r>
              <w:rPr>
                <w:b/>
                <w:bCs/>
                <w:color w:val="0E7C86"/>
                <w:sz w:val="21"/>
                <w:szCs w:val="21"/>
              </w:rPr>
              <w:t>Alignment across the system. Smith and Ragan (2005) describe instructional alignment as the coherent relationship between objectives, instructional activities, and assessment. Every document in this module was designed to serve the same learning objective. Students will analyze how checkpoint mutations cause uncontrolled division and explain why this is the biological basis of cancer and every assessment item was written at the cognitive level (analysis, evaluation) specified by that objective.</w:t>
            </w:r>
          </w:p>
        </w:tc>
      </w:tr>
    </w:tbl>
    <w:p w14:paraId="4607B8BD" w14:textId="77777777" w:rsidR="000D0AEA" w:rsidRDefault="000D0AEA">
      <w:pPr>
        <w:spacing w:before="160"/>
      </w:pPr>
    </w:p>
    <w:p w14:paraId="1D29E91E" w14:textId="77777777" w:rsidR="00ED03C6" w:rsidRDefault="00ED03C6">
      <w:pPr>
        <w:pBdr>
          <w:bottom w:val="single" w:sz="4" w:space="0" w:color="1A3A5C"/>
        </w:pBdr>
        <w:spacing w:before="320" w:after="80"/>
        <w:rPr>
          <w:b/>
          <w:bCs/>
          <w:smallCaps/>
          <w:color w:val="0E7C86"/>
          <w:sz w:val="17"/>
          <w:szCs w:val="17"/>
        </w:rPr>
      </w:pPr>
    </w:p>
    <w:p w14:paraId="314717AF" w14:textId="73EB18F8" w:rsidR="000D0AEA" w:rsidRDefault="00423AFC">
      <w:pPr>
        <w:pBdr>
          <w:bottom w:val="single" w:sz="4" w:space="0" w:color="1A3A5C"/>
        </w:pBdr>
        <w:spacing w:before="320" w:after="80"/>
      </w:pPr>
      <w:r>
        <w:rPr>
          <w:b/>
          <w:bCs/>
          <w:smallCaps/>
          <w:color w:val="0E7C86"/>
          <w:sz w:val="17"/>
          <w:szCs w:val="17"/>
        </w:rPr>
        <w:lastRenderedPageBreak/>
        <w:t>02 Deliverable-by-Deliverable Design Rationale</w:t>
      </w:r>
    </w:p>
    <w:p w14:paraId="0F645311" w14:textId="77777777" w:rsidR="000D0AEA" w:rsidRDefault="00423AFC">
      <w:pPr>
        <w:spacing w:before="80" w:after="120"/>
      </w:pPr>
      <w:r>
        <w:rPr>
          <w:color w:val="64748B"/>
        </w:rPr>
        <w:t>The table below summarizes the primary theoretical framework, the specific design decision it informed, and the supporting citation for each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760"/>
        <w:gridCol w:w="2000"/>
      </w:tblGrid>
      <w:tr w:rsidR="000D0AEA" w14:paraId="1AAAA04A" w14:textId="77777777">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16D37963" w14:textId="77777777" w:rsidR="000D0AEA" w:rsidRDefault="00423AFC">
            <w:r>
              <w:rPr>
                <w:b/>
                <w:bCs/>
                <w:smallCaps/>
                <w:color w:val="FFFFFF"/>
                <w:sz w:val="20"/>
                <w:szCs w:val="20"/>
              </w:rPr>
              <w:t>Deliverable</w:t>
            </w:r>
          </w:p>
        </w:tc>
        <w:tc>
          <w:tcPr>
            <w:tcW w:w="20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49E48602" w14:textId="77777777" w:rsidR="000D0AEA" w:rsidRDefault="00423AFC">
            <w:r>
              <w:rPr>
                <w:b/>
                <w:bCs/>
                <w:smallCaps/>
                <w:color w:val="FFFFFF"/>
                <w:sz w:val="20"/>
                <w:szCs w:val="20"/>
              </w:rPr>
              <w:t>Primary Theory</w:t>
            </w:r>
          </w:p>
        </w:tc>
        <w:tc>
          <w:tcPr>
            <w:tcW w:w="376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5EF5D9A9" w14:textId="77777777" w:rsidR="000D0AEA" w:rsidRDefault="00423AFC">
            <w:r>
              <w:rPr>
                <w:b/>
                <w:bCs/>
                <w:smallCaps/>
                <w:color w:val="FFFFFF"/>
                <w:sz w:val="20"/>
                <w:szCs w:val="20"/>
              </w:rPr>
              <w:t>Design Decision</w:t>
            </w:r>
          </w:p>
        </w:tc>
        <w:tc>
          <w:tcPr>
            <w:tcW w:w="20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18AC078E" w14:textId="77777777" w:rsidR="000D0AEA" w:rsidRDefault="00423AFC">
            <w:r>
              <w:rPr>
                <w:b/>
                <w:bCs/>
                <w:smallCaps/>
                <w:color w:val="FFFFFF"/>
                <w:sz w:val="20"/>
                <w:szCs w:val="20"/>
              </w:rPr>
              <w:t>Citation</w:t>
            </w:r>
          </w:p>
        </w:tc>
      </w:tr>
      <w:tr w:rsidR="000D0AEA" w14:paraId="725D4B12" w14:textId="77777777">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1ED3F839" w14:textId="77777777" w:rsidR="000D0AEA" w:rsidRDefault="00423AFC">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44E6652B" w14:textId="77777777" w:rsidR="000D0AEA" w:rsidRDefault="00423AFC">
            <w:r>
              <w:rPr>
                <w:b/>
                <w:bCs/>
                <w:color w:val="0E7C86"/>
                <w:sz w:val="20"/>
                <w:szCs w:val="20"/>
              </w:rPr>
              <w:t>Bloom's Revised Taxonomy (Anderson &amp; Krathwohl, 2001)</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55C400E1" w14:textId="77777777" w:rsidR="000D0AEA" w:rsidRDefault="00423AFC">
            <w:pPr>
              <w:spacing w:line="264" w:lineRule="auto"/>
            </w:pPr>
            <w:r>
              <w:rPr>
                <w:color w:val="1E293B"/>
                <w:sz w:val="20"/>
                <w:szCs w:val="20"/>
              </w:rPr>
              <w:t>The learning objective uses analysis-level verbs ('analyze,' 'explain'), and every embedded quiz question was written at that same cognitive level — requiring students to reason about mechanisms, not recall definitions.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B62A4E8" w14:textId="48874857" w:rsidR="000D0AEA" w:rsidRDefault="00423AFC">
            <w:pPr>
              <w:spacing w:line="252" w:lineRule="auto"/>
            </w:pPr>
            <w:r>
              <w:rPr>
                <w:color w:val="64748B"/>
                <w:sz w:val="18"/>
                <w:szCs w:val="18"/>
              </w:rPr>
              <w:t>Anderson &amp; Krathwohl, 2001; Harris &amp; Jones (2021)</w:t>
            </w:r>
          </w:p>
        </w:tc>
      </w:tr>
      <w:tr w:rsidR="000D0AEA" w14:paraId="50E0A04A" w14:textId="77777777">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0015D5DF" w14:textId="77777777" w:rsidR="000D0AEA" w:rsidRDefault="00423AFC">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0BA87E1" w14:textId="77777777" w:rsidR="000D0AEA" w:rsidRDefault="00423AFC">
            <w:r>
              <w:rPr>
                <w:b/>
                <w:bCs/>
                <w:color w:val="0E7C86"/>
                <w:sz w:val="20"/>
                <w:szCs w:val="20"/>
              </w:rPr>
              <w:t>Keller's ARCS Model (1987)</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6EFBA199" w14:textId="77777777" w:rsidR="000D0AEA" w:rsidRDefault="00423AFC">
            <w:pPr>
              <w:spacing w:line="264" w:lineRule="auto"/>
            </w:pPr>
            <w:r>
              <w:rPr>
                <w:color w:val="1E293B"/>
                <w:sz w:val="20"/>
                <w:szCs w:val="20"/>
              </w:rPr>
              <w:t>Attention: opened with a pediatric cancer statistic. Relevance: framed students as 'junior researchers.' Confidence: immediate quiz feedback with explanations. Satisfaction: exit ticket closes the loop to next-day class.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46735069" w14:textId="65112B09" w:rsidR="000D0AEA" w:rsidRDefault="00423AFC">
            <w:pPr>
              <w:spacing w:line="252" w:lineRule="auto"/>
            </w:pPr>
            <w:r>
              <w:rPr>
                <w:color w:val="64748B"/>
                <w:sz w:val="18"/>
                <w:szCs w:val="18"/>
              </w:rPr>
              <w:t>Keller, 1987; Park (2018)</w:t>
            </w:r>
          </w:p>
        </w:tc>
      </w:tr>
      <w:tr w:rsidR="000D0AEA" w14:paraId="0626D26A" w14:textId="77777777">
        <w:tc>
          <w:tcPr>
            <w:tcW w:w="1600" w:type="dxa"/>
            <w:tcBorders>
              <w:top w:val="single" w:sz="1" w:space="0" w:color="D1E4F0"/>
              <w:left w:val="single" w:sz="1" w:space="0" w:color="D1E4F0"/>
              <w:bottom w:val="single" w:sz="1" w:space="0" w:color="D1E4F0"/>
              <w:right w:val="single" w:sz="1" w:space="0" w:color="D1E4F0"/>
            </w:tcBorders>
            <w:shd w:val="clear" w:color="auto" w:fill="0A6870"/>
            <w:tcMar>
              <w:top w:w="100" w:type="dxa"/>
              <w:left w:w="140" w:type="dxa"/>
              <w:bottom w:w="100" w:type="dxa"/>
              <w:right w:w="140" w:type="dxa"/>
            </w:tcMar>
          </w:tcPr>
          <w:p w14:paraId="5472100C" w14:textId="77777777" w:rsidR="000D0AEA" w:rsidRDefault="00423AFC">
            <w:r>
              <w:rPr>
                <w:b/>
                <w:bCs/>
                <w:color w:val="FFFFFF"/>
                <w:sz w:val="20"/>
                <w:szCs w:val="20"/>
              </w:rPr>
              <w:t>Student Digital Lesson</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36DE7C0B" w14:textId="77777777" w:rsidR="000D0AEA" w:rsidRDefault="00423AFC">
            <w:r>
              <w:rPr>
                <w:b/>
                <w:bCs/>
                <w:color w:val="0E7C86"/>
                <w:sz w:val="20"/>
                <w:szCs w:val="20"/>
              </w:rPr>
              <w:t>Cognitive Load Theory (Sweller, 2019)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10498A1D" w14:textId="77777777" w:rsidR="000D0AEA" w:rsidRDefault="00423AFC">
            <w:pPr>
              <w:spacing w:line="264" w:lineRule="auto"/>
            </w:pPr>
            <w:r>
              <w:rPr>
                <w:color w:val="1E293B"/>
                <w:sz w:val="20"/>
                <w:szCs w:val="20"/>
              </w:rPr>
              <w:t>Analogies (factory checkpoints, car brakes/accelerator) provide existing schemas to reduce intrinsic load. Sectioned layout and progressive disclosure minimize extraneous load so working memory is available for content.</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0444563" w14:textId="7359CFAA" w:rsidR="000D0AEA" w:rsidRDefault="00423AFC">
            <w:pPr>
              <w:spacing w:line="252" w:lineRule="auto"/>
            </w:pPr>
            <w:r>
              <w:rPr>
                <w:color w:val="64748B"/>
                <w:sz w:val="18"/>
                <w:szCs w:val="18"/>
              </w:rPr>
              <w:t>Sweller, 2019; Schmidt et al. (2020)</w:t>
            </w:r>
          </w:p>
        </w:tc>
      </w:tr>
      <w:tr w:rsidR="000D0AEA" w14:paraId="54B726BA" w14:textId="77777777">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1A62F21E" w14:textId="77777777" w:rsidR="000D0AEA" w:rsidRDefault="00423AFC">
            <w:r>
              <w:rPr>
                <w:b/>
                <w:bCs/>
                <w:color w:val="FFFFFF"/>
                <w:sz w:val="20"/>
                <w:szCs w:val="20"/>
              </w:rPr>
              <w:t>Student Guided Notes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0EF38EC" w14:textId="77777777" w:rsidR="000D0AEA" w:rsidRDefault="00423AFC">
            <w:r>
              <w:rPr>
                <w:b/>
                <w:bCs/>
                <w:color w:val="0E7C86"/>
                <w:sz w:val="20"/>
                <w:szCs w:val="20"/>
              </w:rPr>
              <w:t>Scaffolding Theory (Belland et al., 2013)</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54678F46" w14:textId="77777777" w:rsidR="000D0AEA" w:rsidRDefault="00423AFC">
            <w:pPr>
              <w:spacing w:line="264" w:lineRule="auto"/>
            </w:pPr>
            <w:r>
              <w:rPr>
                <w:color w:val="1E293B"/>
                <w:sz w:val="20"/>
                <w:szCs w:val="20"/>
              </w:rPr>
              <w:t>Guided fill-in frames offload organizational cognitive work without removing conceptual demand — students must retrieve and apply vocabulary, not copy from a completed answer. Two levels of support: fill-in sentences for vocabulary; open table rows for analysis.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23F04C98" w14:textId="77777777" w:rsidR="000D0AEA" w:rsidRDefault="00423AFC">
            <w:pPr>
              <w:spacing w:line="252" w:lineRule="auto"/>
            </w:pPr>
            <w:r>
              <w:rPr>
                <w:color w:val="64748B"/>
                <w:sz w:val="18"/>
                <w:szCs w:val="18"/>
              </w:rPr>
              <w:t>Belland, Kim &amp; Hannafin, 2013</w:t>
            </w:r>
          </w:p>
        </w:tc>
      </w:tr>
      <w:tr w:rsidR="000D0AEA" w14:paraId="63FE9DC5" w14:textId="77777777">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1155A0AA" w14:textId="77777777" w:rsidR="000D0AEA" w:rsidRDefault="00423AFC">
            <w:r>
              <w:rPr>
                <w:b/>
                <w:bCs/>
                <w:color w:val="FFFFFF"/>
                <w:sz w:val="20"/>
                <w:szCs w:val="20"/>
              </w:rPr>
              <w:t>Student Guided Notes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1D014D3C" w14:textId="77777777" w:rsidR="000D0AEA" w:rsidRDefault="00423AFC">
            <w:r>
              <w:rPr>
                <w:b/>
                <w:bCs/>
                <w:color w:val="0E7C86"/>
                <w:sz w:val="20"/>
                <w:szCs w:val="20"/>
              </w:rPr>
              <w:t>Van Merriënboer's 4C/ID Model (2009)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55FCC878" w14:textId="77777777" w:rsidR="000D0AEA" w:rsidRDefault="00423AFC">
            <w:pPr>
              <w:spacing w:line="264" w:lineRule="auto"/>
            </w:pPr>
            <w:r>
              <w:rPr>
                <w:color w:val="1E293B"/>
                <w:sz w:val="20"/>
                <w:szCs w:val="20"/>
              </w:rPr>
              <w:t>The simulator note-catcher functions as 'part-task practice' — structured practice on a component skill (scenario analysis) that prepares learners for whole-task performance (the Maya case study). The self-check supports the self-assessment skills van Merriënboer argues must be explicitly developed.</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DA37CFB" w14:textId="77777777" w:rsidR="000D0AEA" w:rsidRDefault="00423AFC">
            <w:pPr>
              <w:spacing w:line="252" w:lineRule="auto"/>
            </w:pPr>
            <w:r>
              <w:rPr>
                <w:color w:val="64748B"/>
                <w:sz w:val="18"/>
                <w:szCs w:val="18"/>
              </w:rPr>
              <w:t>van Merriënboer et al., 2009</w:t>
            </w:r>
          </w:p>
        </w:tc>
      </w:tr>
      <w:tr w:rsidR="000D0AEA" w14:paraId="62E2F728" w14:textId="77777777">
        <w:tc>
          <w:tcPr>
            <w:tcW w:w="160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40" w:type="dxa"/>
              <w:bottom w:w="100" w:type="dxa"/>
              <w:right w:w="140" w:type="dxa"/>
            </w:tcMar>
          </w:tcPr>
          <w:p w14:paraId="39F780AF" w14:textId="77777777" w:rsidR="000D0AEA" w:rsidRDefault="00423AFC">
            <w:r>
              <w:rPr>
                <w:b/>
                <w:bCs/>
                <w:color w:val="FFFFFF"/>
                <w:sz w:val="20"/>
                <w:szCs w:val="20"/>
              </w:rPr>
              <w:t>Checkpoint Simulator</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6710858D" w14:textId="77777777" w:rsidR="000D0AEA" w:rsidRDefault="00423AFC">
            <w:r>
              <w:rPr>
                <w:b/>
                <w:bCs/>
                <w:color w:val="0E7C86"/>
                <w:sz w:val="20"/>
                <w:szCs w:val="20"/>
              </w:rPr>
              <w:t>Merrill's First Principles — Application (2002)</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7FE0531A" w14:textId="77777777" w:rsidR="000D0AEA" w:rsidRDefault="00423AFC">
            <w:pPr>
              <w:spacing w:line="264" w:lineRule="auto"/>
            </w:pPr>
            <w:r>
              <w:rPr>
                <w:color w:val="1E293B"/>
                <w:sz w:val="20"/>
                <w:szCs w:val="20"/>
              </w:rPr>
              <w:t xml:space="preserve">A video would constitute demonstration (Show). The simulator constitutes application (Do). Merrill: 'remembering information is insufficient.' Students control the scenario, step through </w:t>
              <w:lastRenderedPageBreak/>
              <w:t>consequences, and encounter real-time outcomes — active application, not passive reception.</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BE10754" w14:textId="77777777" w:rsidR="000D0AEA" w:rsidRDefault="00423AFC">
            <w:pPr>
              <w:spacing w:line="252" w:lineRule="auto"/>
            </w:pPr>
            <w:r>
              <w:rPr>
                <w:color w:val="64748B"/>
                <w:sz w:val="18"/>
                <w:szCs w:val="18"/>
              </w:rPr>
              <w:lastRenderedPageBreak/>
              <w:t>Merrill, 2002</w:t>
            </w:r>
          </w:p>
        </w:tc>
      </w:tr>
      <w:tr w:rsidR="000D0AEA" w14:paraId="3690D97E" w14:textId="77777777">
        <w:tc>
          <w:tcPr>
            <w:tcW w:w="1600" w:type="dxa"/>
            <w:tcBorders>
              <w:top w:val="single" w:sz="1" w:space="0" w:color="D1E4F0"/>
              <w:left w:val="single" w:sz="1" w:space="0" w:color="D1E4F0"/>
              <w:bottom w:val="single" w:sz="1" w:space="0" w:color="D1E4F0"/>
              <w:right w:val="single" w:sz="1" w:space="0" w:color="D1E4F0"/>
            </w:tcBorders>
            <w:shd w:val="clear" w:color="auto" w:fill="0A6870"/>
            <w:tcMar>
              <w:top w:w="100" w:type="dxa"/>
              <w:left w:w="140" w:type="dxa"/>
              <w:bottom w:w="100" w:type="dxa"/>
              <w:right w:w="140" w:type="dxa"/>
            </w:tcMar>
          </w:tcPr>
          <w:p w14:paraId="3830AAF9" w14:textId="77777777" w:rsidR="000D0AEA" w:rsidRDefault="00423AFC">
            <w:r>
              <w:rPr>
                <w:b/>
                <w:bCs/>
                <w:color w:val="FFFFFF"/>
                <w:sz w:val="20"/>
                <w:szCs w:val="20"/>
              </w:rPr>
              <w:t>Checkpoint Simulator</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3E1BEC72" w14:textId="77777777" w:rsidR="000D0AEA" w:rsidRDefault="00423AFC">
            <w:r>
              <w:rPr>
                <w:b/>
                <w:bCs/>
                <w:color w:val="0E7C86"/>
                <w:sz w:val="20"/>
                <w:szCs w:val="20"/>
              </w:rPr>
              <w:t>Cognitive Load — Simple-to-Complex Sequencing</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504AB106" w14:textId="77777777" w:rsidR="000D0AEA" w:rsidRDefault="00423AFC">
            <w:pPr>
              <w:spacing w:line="264" w:lineRule="auto"/>
            </w:pPr>
            <w:r>
              <w:rPr>
                <w:color w:val="1E293B"/>
                <w:sz w:val="20"/>
                <w:szCs w:val="20"/>
              </w:rPr>
              <w:t>Four scenarios progress from healthy cell → one mutation → one oncogene → both combined. Each scenario adds one interacting element. By Scenario 4, students have built enough schema from prior scenarios to manage its complexity — which would be overwhelming if presented first.</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5C760453" w14:textId="77777777" w:rsidR="000D0AEA" w:rsidRDefault="00423AFC">
            <w:pPr>
              <w:spacing w:line="252" w:lineRule="auto"/>
            </w:pPr>
            <w:r>
              <w:rPr>
                <w:color w:val="64748B"/>
                <w:sz w:val="18"/>
                <w:szCs w:val="18"/>
              </w:rPr>
              <w:t>van Merriënboer et al., 2009; Sweller, 2019</w:t>
            </w:r>
          </w:p>
        </w:tc>
      </w:tr>
      <w:tr w:rsidR="000D0AEA" w14:paraId="18204BD2" w14:textId="77777777">
        <w:tc>
          <w:tcPr>
            <w:tcW w:w="160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40" w:type="dxa"/>
              <w:bottom w:w="100" w:type="dxa"/>
              <w:right w:w="140" w:type="dxa"/>
            </w:tcMar>
          </w:tcPr>
          <w:p w14:paraId="6DF47B7B" w14:textId="77777777" w:rsidR="000D0AEA" w:rsidRDefault="00423AFC">
            <w:r>
              <w:rPr>
                <w:b/>
                <w:bCs/>
                <w:color w:val="FFFFFF"/>
                <w:sz w:val="20"/>
                <w:szCs w:val="20"/>
              </w:rPr>
              <w:t>Simulator Reference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57320D2D" w14:textId="77777777" w:rsidR="000D0AEA" w:rsidRDefault="00423AFC">
            <w:r>
              <w:rPr>
                <w:b/>
                <w:bCs/>
                <w:color w:val="0E7C86"/>
                <w:sz w:val="20"/>
                <w:szCs w:val="20"/>
              </w:rPr>
              <w:t>Split-Attention Effect (Sweller, 2019)</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36305BFA" w14:textId="77777777" w:rsidR="000D0AEA" w:rsidRDefault="00423AFC">
            <w:pPr>
              <w:spacing w:line="264" w:lineRule="auto"/>
            </w:pPr>
            <w:r>
              <w:rPr>
                <w:color w:val="1E293B"/>
                <w:sz w:val="20"/>
                <w:szCs w:val="20"/>
              </w:rPr>
              <w:t>Providing a printed companion to a digital tool eliminates the need to switch between browser tabs while running simulations. Physical co-presence of reference material and tool reduces extraneous cognitive load from context-switching.</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78455D7C" w14:textId="445E10DE" w:rsidR="000D0AEA" w:rsidRDefault="00423AFC">
            <w:pPr>
              <w:spacing w:line="252" w:lineRule="auto"/>
            </w:pPr>
            <w:r>
              <w:rPr>
                <w:color w:val="64748B"/>
                <w:sz w:val="18"/>
                <w:szCs w:val="18"/>
              </w:rPr>
              <w:t>Sweller, 2019; Hollender et al. (2010)</w:t>
            </w:r>
          </w:p>
        </w:tc>
      </w:tr>
      <w:tr w:rsidR="000D0AEA" w14:paraId="3C66C2A4" w14:textId="77777777">
        <w:tc>
          <w:tcPr>
            <w:tcW w:w="160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40" w:type="dxa"/>
              <w:bottom w:w="100" w:type="dxa"/>
              <w:right w:w="140" w:type="dxa"/>
            </w:tcMar>
          </w:tcPr>
          <w:p w14:paraId="2A096ED0" w14:textId="77777777" w:rsidR="000D0AEA" w:rsidRDefault="00423AFC">
            <w:r>
              <w:rPr>
                <w:b/>
                <w:bCs/>
                <w:color w:val="FFFFFF"/>
                <w:sz w:val="20"/>
                <w:szCs w:val="20"/>
              </w:rPr>
              <w:t>Teacher Facilitation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46ECEBE4" w14:textId="77777777" w:rsidR="000D0AEA" w:rsidRDefault="00423AFC">
            <w:r>
              <w:rPr>
                <w:b/>
                <w:bCs/>
                <w:color w:val="0E7C86"/>
                <w:sz w:val="20"/>
                <w:szCs w:val="20"/>
              </w:rPr>
              <w:t>Bloom's Taxonomy — Facilitation Alignment</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A226ADD" w14:textId="77777777" w:rsidR="000D0AEA" w:rsidRDefault="00423AFC">
            <w:pPr>
              <w:spacing w:line="264" w:lineRule="auto"/>
            </w:pPr>
            <w:r>
              <w:rPr>
                <w:color w:val="1E293B"/>
                <w:sz w:val="20"/>
                <w:szCs w:val="20"/>
              </w:rPr>
              <w:t>Discussion prompts are organized by Bloom's level (Recall → Analysis → Evaluation) with expected student responses at each level. This allows teachers to meet students where they are and push toward the objective rather than defaulting to recall-level discussion.</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656A5C60" w14:textId="77777777" w:rsidR="000D0AEA" w:rsidRDefault="00423AFC">
            <w:pPr>
              <w:spacing w:line="252" w:lineRule="auto"/>
            </w:pPr>
            <w:r>
              <w:rPr>
                <w:color w:val="64748B"/>
                <w:sz w:val="18"/>
                <w:szCs w:val="18"/>
              </w:rPr>
              <w:t>Anderson &amp; Krathwohl, 2001</w:t>
            </w:r>
          </w:p>
        </w:tc>
      </w:tr>
      <w:tr w:rsidR="000D0AEA" w14:paraId="29E4F80E" w14:textId="77777777">
        <w:tc>
          <w:tcPr>
            <w:tcW w:w="160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40" w:type="dxa"/>
              <w:bottom w:w="100" w:type="dxa"/>
              <w:right w:w="140" w:type="dxa"/>
            </w:tcMar>
          </w:tcPr>
          <w:p w14:paraId="4D45D968" w14:textId="77777777" w:rsidR="000D0AEA" w:rsidRDefault="00423AFC">
            <w:r>
              <w:rPr>
                <w:b/>
                <w:bCs/>
                <w:color w:val="FFFFFF"/>
                <w:sz w:val="20"/>
                <w:szCs w:val="20"/>
              </w:rPr>
              <w:t>Teacher Facilitation Guide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BB23DBB" w14:textId="77777777" w:rsidR="000D0AEA" w:rsidRDefault="00423AFC">
            <w:r>
              <w:rPr>
                <w:b/>
                <w:bCs/>
                <w:color w:val="0E7C86"/>
                <w:sz w:val="20"/>
                <w:szCs w:val="20"/>
              </w:rPr>
              <w:t>Formative Assessment Theory (Harris &amp; Jones)</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4FF6E555" w14:textId="77777777" w:rsidR="000D0AEA" w:rsidRDefault="00423AFC">
            <w:pPr>
              <w:spacing w:line="264" w:lineRule="auto"/>
            </w:pPr>
            <w:r>
              <w:rPr>
                <w:color w:val="1E293B"/>
                <w:sz w:val="20"/>
                <w:szCs w:val="20"/>
              </w:rPr>
              <w:t>Exit ticket triage table tells the teacher exactly what to do with data before class. Struggle signal panels give specific verbal cues and behavioral indicators — not general advice — so teachers can act in real time during group work.</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4DC8C2C6" w14:textId="2ACAE1B8" w:rsidR="000D0AEA" w:rsidRDefault="00423AFC">
            <w:pPr>
              <w:spacing w:line="252" w:lineRule="auto"/>
            </w:pPr>
            <w:r>
              <w:rPr>
                <w:color w:val="64748B"/>
                <w:sz w:val="18"/>
                <w:szCs w:val="18"/>
              </w:rPr>
              <w:t>Harris &amp; Jones (2021)</w:t>
            </w:r>
          </w:p>
        </w:tc>
      </w:tr>
      <w:tr w:rsidR="000D0AEA" w14:paraId="00CC01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11" w14:textId="77777777" w:rsidR="000D0AEA" w:rsidRDefault="00423AFC">
            <w:r>
              <w:rPr>
                <w:b/>
                <w:bCs/>
                <w:color w:val="1A3A5C"/>
                <w:sz w:val="20"/>
                <w:szCs w:val="20"/>
              </w:rPr>
              <w:t>Tumor Board: The Maya Case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12" w14:textId="77777777" w:rsidR="000D0AEA" w:rsidRDefault="00423AFC">
            <w:r>
              <w:rPr>
                <w:b/>
                <w:bCs/>
                <w:color w:val="0E7C86"/>
                <w:sz w:val="20"/>
                <w:szCs w:val="20"/>
              </w:rPr>
              <w:t>Peer Scaffolding &amp; Problem-Based Learning (Ge &amp; Land, 2003; Belland et al., 2013)</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13" w14:textId="77777777" w:rsidR="000D0AEA" w:rsidRDefault="00423AFC">
            <w:pPr>
              <w:spacing w:line="264" w:lineRule="auto"/>
            </w:pPr>
            <w:r>
              <w:rPr>
                <w:color w:val="1E293B"/>
                <w:sz w:val="20"/>
                <w:szCs w:val="20"/>
              </w:rPr>
              <w:t>Assigning specialist roles (Molecular Biologist, Pathologist, Oncologist, Patient Advocate) operationalizes peer scaffolding: students hold different knowledge perspectives and must integrate them to reach consensus. Ge and Land (2003) demonstrate that structured peer interaction during ill-structured problem solving produces higher-order argumentation than individual work. The consensus form enforces the integration step — students cannot simply report their role’s view; they must negotiate a group diagnosis.</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14" w14:textId="77777777" w:rsidR="000D0AEA" w:rsidRDefault="00423AFC">
            <w:pPr>
              <w:spacing w:line="252" w:lineRule="auto"/>
            </w:pPr>
            <w:r>
              <w:rPr>
                <w:color w:val="64748B"/>
                <w:sz w:val="18"/>
                <w:szCs w:val="18"/>
              </w:rPr>
              <w:t>Ge &amp; Land, 2003; Belland et al., 2013</w:t>
            </w:r>
          </w:p>
        </w:tc>
      </w:tr>
      <w:tr w:rsidR="000D0AEA" w14:paraId="00CC02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21" w14:textId="77777777" w:rsidR="000D0AEA" w:rsidRDefault="00423AFC">
            <w:r>
              <w:rPr>
                <w:b/>
                <w:bCs/>
                <w:color w:val="1A3A5C"/>
                <w:sz w:val="20"/>
                <w:szCs w:val="20"/>
              </w:rPr>
              <w:t>Tumor Board: The Maya Case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22" w14:textId="77777777" w:rsidR="000D0AEA" w:rsidRDefault="00423AFC">
            <w:r>
              <w:rPr>
                <w:b/>
                <w:bCs/>
                <w:color w:val="0E7C86"/>
                <w:sz w:val="20"/>
                <w:szCs w:val="20"/>
              </w:rPr>
              <w:t>Tawfik &amp; Gatewood Case-Based Decision Making (2022)</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23" w14:textId="77777777" w:rsidR="000D0AEA" w:rsidRDefault="00423AFC">
            <w:pPr>
              <w:spacing w:line="264" w:lineRule="auto"/>
            </w:pPr>
            <w:r>
              <w:rPr>
                <w:color w:val="1E293B"/>
                <w:sz w:val="20"/>
                <w:szCs w:val="20"/>
              </w:rPr>
              <w:t>The four specialist roles create four distinct entry points into the same case, reflecting Tawfik and Gatewood’s argument that case-based learning is most effective when learners are positioned to ‘recall previous experiences which are similar to the extant issue.’ Each role primes a different schema — genetic, pathological, therapeutic, and humanistic — and the whole-class debrief integrates all four into the shared understanding needed for the lesson objective.</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24" w14:textId="77777777" w:rsidR="000D0AEA" w:rsidRDefault="00423AFC">
            <w:pPr>
              <w:spacing w:line="252" w:lineRule="auto"/>
            </w:pPr>
            <w:r>
              <w:rPr>
                <w:color w:val="64748B"/>
                <w:sz w:val="18"/>
                <w:szCs w:val="18"/>
              </w:rPr>
              <w:t>Tawfik &amp; Gatewood, 2022</w:t>
            </w:r>
          </w:p>
        </w:tc>
      </w:tr>
      <w:tr w:rsidR="000D0AEA" w14:paraId="00CC03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31" w14:textId="77777777" w:rsidR="000D0AEA" w:rsidRDefault="00423AFC">
            <w:r>
              <w:rPr>
                <w:b/>
                <w:bCs/>
                <w:color w:val="1A3A5C"/>
                <w:sz w:val="20"/>
                <w:szCs w:val="20"/>
              </w:rPr>
              <w:t>Scaffolded Diagram (Support Tool)</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32" w14:textId="77777777" w:rsidR="000D0AEA" w:rsidRDefault="00423AFC">
            <w:r>
              <w:rPr>
                <w:b/>
                <w:bCs/>
                <w:color w:val="0E7C86"/>
                <w:sz w:val="20"/>
                <w:szCs w:val="20"/>
              </w:rPr>
              <w:t>Distributed Scaffolding — Puntambekar (2022)</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33" w14:textId="77777777" w:rsidR="000D0AEA" w:rsidRDefault="00423AFC">
            <w:pPr>
              <w:spacing w:line="264" w:lineRule="auto"/>
            </w:pPr>
            <w:r>
              <w:rPr>
                <w:color w:val="1E293B"/>
                <w:sz w:val="20"/>
                <w:szCs w:val="20"/>
              </w:rPr>
              <w:t>Puntambekar’s distributed scaffolding framework argues that in classrooms with one teacher and many learners, scaffolding must be distributed across tools and social supports simultaneously. The scaffolded cell cycle diagram is a tool scaffold — it handles the recall load (phase labels and checkpoint positions are pre-filled) so that working memory is fully available for the analytical work the lesson requires. It is provided discreetly, without announcement, to preserve dignity within the group. Teacher circulation functions as the complementary social scaffold.</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34" w14:textId="77777777" w:rsidR="000D0AEA" w:rsidRDefault="00423AFC">
            <w:pPr>
              <w:spacing w:line="252" w:lineRule="auto"/>
            </w:pPr>
            <w:r>
              <w:rPr>
                <w:color w:val="64748B"/>
                <w:sz w:val="18"/>
                <w:szCs w:val="18"/>
              </w:rPr>
              <w:t>Puntambekar, 2022; Belland et al., 2013</w:t>
            </w:r>
          </w:p>
        </w:tc>
      </w:tr>
      <w:tr w:rsidR="000D0AEA" w14:paraId="00CC04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41" w14:textId="77777777" w:rsidR="000D0AEA" w:rsidRDefault="00423AFC">
            <w:r>
              <w:rPr>
                <w:b/>
                <w:bCs/>
                <w:color w:val="1A3A5C"/>
                <w:sz w:val="20"/>
                <w:szCs w:val="20"/>
              </w:rPr>
              <w:t>Extension Activity (TP53 Data Analysis)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42" w14:textId="77777777" w:rsidR="000D0AEA" w:rsidRDefault="00423AFC">
            <w:r>
              <w:rPr>
                <w:b/>
                <w:bCs/>
                <w:color w:val="0E7C86"/>
                <w:sz w:val="20"/>
                <w:szCs w:val="20"/>
              </w:rPr>
              <w:t>Flow Theory — Vann &amp; Tawfik (2020)</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43" w14:textId="77777777" w:rsidR="000D0AEA" w:rsidRDefault="00423AFC">
            <w:pPr>
              <w:spacing w:line="264" w:lineRule="auto"/>
            </w:pPr>
            <w:r>
              <w:rPr>
                <w:color w:val="1E293B"/>
                <w:sz w:val="20"/>
                <w:szCs w:val="20"/>
              </w:rPr>
              <w:t>Vann and Tawfik (2020) demonstrate that when challenge fails to increase as learner skill develops, the learner enters the ‘boredom channel’ and disengages. Early finishers who have mastered the Tumor Board analysis are precisely in this position. The extension activity provides TP53 mutation rate comparison across cancer types — a data analysis task that increases element interactivity and maintains the flow channel without requiring a new instructional context.</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44" w14:textId="77777777" w:rsidR="000D0AEA" w:rsidRDefault="00423AFC">
            <w:pPr>
              <w:spacing w:line="252" w:lineRule="auto"/>
            </w:pPr>
            <w:r>
              <w:rPr>
                <w:color w:val="64748B"/>
                <w:sz w:val="18"/>
                <w:szCs w:val="18"/>
              </w:rPr>
              <w:t>Vann &amp; Tawfik, 2020; Sweller, 2019</w:t>
            </w:r>
          </w:p>
        </w:tc>
      </w:tr>
      <w:tr w:rsidR="000D0AEA" w14:paraId="00CC05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51" w14:textId="77777777" w:rsidR="000D0AEA" w:rsidRDefault="00423AFC">
            <w:r>
              <w:rPr>
                <w:b/>
                <w:bCs/>
                <w:color w:val="1A3A5C"/>
                <w:sz w:val="20"/>
                <w:szCs w:val="20"/>
              </w:rPr>
              <w:t>Checkpoint Simulator — Completion Gate</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52" w14:textId="77777777" w:rsidR="000D0AEA" w:rsidRDefault="00423AFC">
            <w:r>
              <w:rPr>
                <w:b/>
                <w:bCs/>
                <w:color w:val="0E7C86"/>
                <w:sz w:val="20"/>
                <w:szCs w:val="20"/>
              </w:rPr>
              <w:t>Content Leveling &amp; Mastery Sequencing — Vann &amp; Tawfik (2020); Ertmer &amp; Newby (1993)</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53" w14:textId="77777777" w:rsidR="000D0AEA" w:rsidRDefault="00423AFC">
            <w:pPr>
              <w:spacing w:line="264" w:lineRule="auto"/>
            </w:pPr>
            <w:r>
              <w:rPr>
                <w:color w:val="1E293B"/>
                <w:sz w:val="20"/>
                <w:szCs w:val="20"/>
              </w:rPr>
              <w:t>The simulator’s discussion questions are gated behind completion of all four scenarios. This reflects two aligned principles: Vann and Tawfik’s content leveling — in which release conditions ensure learners have the comparative experience needed to reason about the unlocked content — and behaviorist mastery sequencing, which requires demonstrated performance on prerequisite steps before advancing. A student who has only seen the healthy cell cannot meaningfully answer why the combined mutation scenario produces cancer; the gate enforces the comparative evidence base the discussion questions require.</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54" w14:textId="77777777" w:rsidR="000D0AEA" w:rsidRDefault="00423AFC">
            <w:pPr>
              <w:spacing w:line="252" w:lineRule="auto"/>
            </w:pPr>
            <w:r>
              <w:rPr>
                <w:color w:val="64748B"/>
                <w:sz w:val="18"/>
                <w:szCs w:val="18"/>
              </w:rPr>
              <w:t>Vann &amp; Tawfik, 2020; Ertmer &amp; Newby, 1993</w:t>
            </w:r>
          </w:p>
        </w:tc>
      </w:tr>
      <w:tr w:rsidR="000D0AEA" w14:paraId="00CC060" w14:textId="77777777">
        <w:tc>
          <w:tcPr>
            <w:tcW w:w="16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40" w:type="dxa"/>
              <w:bottom w:w="100" w:type="dxa"/>
              <w:right w:w="140" w:type="dxa"/>
            </w:tcMar>
          </w:tcPr>
          <w:p w14:paraId="00CC061" w14:textId="77777777" w:rsidR="000D0AEA" w:rsidRDefault="00423AFC">
            <w:r>
              <w:rPr>
                <w:b/>
                <w:bCs/>
                <w:color w:val="1A3A5C"/>
                <w:sz w:val="20"/>
                <w:szCs w:val="20"/>
              </w:rPr>
              <w:t>All Student-Facing Digital Resources</w:t>
            </w:r>
          </w:p>
        </w:tc>
        <w:tc>
          <w:tcPr>
            <w:tcW w:w="20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40" w:type="dxa"/>
              <w:bottom w:w="100" w:type="dxa"/>
              <w:right w:w="140" w:type="dxa"/>
            </w:tcMar>
          </w:tcPr>
          <w:p w14:paraId="00CC062" w14:textId="77777777" w:rsidR="000D0AEA" w:rsidRDefault="00423AFC">
            <w:r>
              <w:rPr>
                <w:b/>
                <w:bCs/>
                <w:color w:val="0E7C86"/>
                <w:sz w:val="20"/>
                <w:szCs w:val="20"/>
              </w:rPr>
              <w:t>UDL Principle II: Representation (CAST); Accessible Instructional Design — Govender &amp; Jaffer (2021)</w:t>
            </w:r>
          </w:p>
        </w:tc>
        <w:tc>
          <w:tcPr>
            <w:tcW w:w="3760" w:type="dxa"/>
            <w:tcBorders>
              <w:top w:val="single" w:sz="1" w:space="0" w:color="D1E4F0"/>
              <w:left w:val="single" w:sz="1" w:space="0" w:color="D1E4F0"/>
              <w:bottom w:val="single" w:sz="1" w:space="0" w:color="D1E4F0"/>
              <w:right w:val="single" w:sz="1" w:space="0" w:color="D1E4F0"/>
            </w:tcBorders>
            <w:tcMar>
              <w:top w:w="100" w:type="dxa"/>
              <w:left w:w="140" w:type="dxa"/>
              <w:bottom w:w="100" w:type="dxa"/>
              <w:right w:w="140" w:type="dxa"/>
            </w:tcMar>
          </w:tcPr>
          <w:p w14:paraId="00CC063" w14:textId="77777777" w:rsidR="000D0AEA" w:rsidRDefault="00423AFC">
            <w:pPr>
              <w:spacing w:line="264" w:lineRule="auto"/>
            </w:pPr>
            <w:r>
              <w:rPr>
                <w:color w:val="1E293B"/>
                <w:sz w:val="20"/>
                <w:szCs w:val="20"/>
              </w:rPr>
              <w:t>All eight student-facing HTML files include native-language Google Translate integration. The WCAG 2.1 AA-compliant cell cycle SVG (role, aria-labelledby, title, desc elements; contrast ratios ≥4.5:1 throughout) satisfies UDL’s Principle II: Representation, which calls for multiple means of accessing information. Govender and Jaffer (2021) identify accessibility in the visual design of instructional text as a prerequisite for equitable learning — not an optional enhancement. For students in a children’s cancer research hospital context, whose home languages may include Spanish, Vietnamese, Somali, Arabic, and more, language access is an equity issue, not a convenience feature.</w:t>
            </w:r>
          </w:p>
        </w:tc>
        <w:tc>
          <w:tcPr>
            <w:tcW w:w="200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40" w:type="dxa"/>
              <w:bottom w:w="100" w:type="dxa"/>
              <w:right w:w="140" w:type="dxa"/>
            </w:tcMar>
          </w:tcPr>
          <w:p w14:paraId="00CC064" w14:textId="77777777" w:rsidR="000D0AEA" w:rsidRDefault="00423AFC">
            <w:pPr>
              <w:spacing w:line="252" w:lineRule="auto"/>
            </w:pPr>
            <w:r>
              <w:rPr>
                <w:color w:val="64748B"/>
                <w:sz w:val="18"/>
                <w:szCs w:val="18"/>
              </w:rPr>
              <w:t>Govender &amp; Jaffer, 2021; Debattista, 2018</w:t>
            </w:r>
          </w:p>
        </w:tc>
      </w:tr>
    </w:tbl>
    <w:p w14:paraId="500CE78F" w14:textId="77777777" w:rsidR="000D0AEA" w:rsidRDefault="000D0AEA">
      <w:pPr>
        <w:spacing w:before="160"/>
      </w:pPr>
    </w:p>
    <w:p w14:paraId="1A1C34D0" w14:textId="71266BD3" w:rsidR="000D0AEA" w:rsidRDefault="00423AFC">
      <w:pPr>
        <w:pBdr>
          <w:bottom w:val="single" w:sz="4" w:space="0" w:color="1A3A5C"/>
        </w:pBdr>
        <w:spacing w:before="320" w:after="80"/>
      </w:pPr>
      <w:r>
        <w:rPr>
          <w:b/>
          <w:bCs/>
          <w:smallCaps/>
          <w:color w:val="0E7C86"/>
          <w:sz w:val="17"/>
          <w:szCs w:val="17"/>
        </w:rPr>
        <w:t>03 Four Decisions Worth Naming Explicitly</w:t>
      </w:r>
    </w:p>
    <w:p w14:paraId="4722DD90" w14:textId="77777777" w:rsidR="000D0AEA" w:rsidRDefault="00423AFC">
      <w:pPr>
        <w:spacing w:before="80" w:after="120" w:line="276" w:lineRule="auto"/>
      </w:pPr>
      <w:r>
        <w:rPr>
          <w:color w:val="1E293B"/>
        </w:rPr>
        <w:t>These four choices shaped the module most fundamentally. Each reflects a deliberate theoretical commitment.</w:t>
      </w:r>
    </w:p>
    <w:p w14:paraId="1F9ABA87" w14:textId="77777777" w:rsidR="000D0AEA" w:rsidRDefault="00423AFC">
      <w:pPr>
        <w:spacing w:before="200" w:after="60"/>
      </w:pPr>
      <w:r>
        <w:rPr>
          <w:b/>
          <w:bCs/>
          <w:color w:val="0E7C86"/>
        </w:rPr>
        <w:t>1.  The patient story is not decoration — it is the instructional anchor.</w:t>
      </w:r>
    </w:p>
    <w:p w14:paraId="0DF27F06" w14:textId="6BCB4BC3" w:rsidR="000D0AEA" w:rsidRDefault="00423AFC">
      <w:pPr>
        <w:spacing w:after="80" w:line="276" w:lineRule="auto"/>
      </w:pPr>
      <w:r>
        <w:rPr>
          <w:color w:val="1E293B"/>
        </w:rPr>
        <w:t xml:space="preserve">Maya, the 12-year-old with Acute lymphoblastic leukemia (ALL), appears in the student lesson, the guided notes, the simulator reference guide, and the teacher facilitation guide. This is not repetition for emphasis, it is Merrill's problem-centered principle in action. Merrill (2002) argues that learners acquire component skills most durably when those skills are taught in the context of the problem they are </w:t>
        <w:lastRenderedPageBreak/>
        <w:t>learning to solve. Every concept in this module, checkpoints, mutation types, the two-hit hypothesis, is introduced in service of understanding what happened to Maya's cells. When the summative assessment presents a new patient profile, students are not encountering a novel task structure; they are transferring a familiar problem-solving process to a new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0AEA" w14:paraId="30D8607D" w14:textId="77777777">
        <w:tc>
          <w:tcPr>
            <w:tcW w:w="9360" w:type="dxa"/>
            <w:tcBorders>
              <w:top w:val="single" w:sz="1" w:space="0" w:color="D1E4F0"/>
              <w:left w:val="single" w:sz="20" w:space="0" w:color="0E7C86"/>
              <w:bottom w:val="single" w:sz="1" w:space="0" w:color="D1E4F0"/>
              <w:right w:val="single" w:sz="1" w:space="0" w:color="D1E4F0"/>
            </w:tcBorders>
            <w:shd w:val="clear" w:color="auto" w:fill="EEF5FB"/>
            <w:tcMar>
              <w:top w:w="120" w:type="dxa"/>
              <w:left w:w="200" w:type="dxa"/>
              <w:bottom w:w="120" w:type="dxa"/>
              <w:right w:w="200" w:type="dxa"/>
            </w:tcMar>
          </w:tcPr>
          <w:p w14:paraId="2AFFC294" w14:textId="0D1E4ED1" w:rsidR="000D0AEA" w:rsidRDefault="00423AFC">
            <w:pPr>
              <w:spacing w:line="264" w:lineRule="auto"/>
            </w:pPr>
            <w:r>
              <w:rPr>
                <w:color w:val="1E293B"/>
                <w:sz w:val="21"/>
                <w:szCs w:val="21"/>
              </w:rPr>
              <w:t>Tawfik and Gatewood (project readings) describe case-based decision-making theory as a design approach in which 'learners recall previous experiences which are similar to the extant issue and select the solution that yielded a successful resolution.' The Maya case serves this function. It becomes the prior case students draw on when encountering a new patient profile in the summative assessment.</w:t>
            </w:r>
          </w:p>
        </w:tc>
      </w:tr>
    </w:tbl>
    <w:p w14:paraId="77FA6224" w14:textId="77777777" w:rsidR="000D0AEA" w:rsidRDefault="000D0AEA">
      <w:pPr>
        <w:spacing w:before="120"/>
      </w:pPr>
    </w:p>
    <w:p w14:paraId="5B93EAE6" w14:textId="77777777" w:rsidR="000D0AEA" w:rsidRDefault="00423AFC">
      <w:pPr>
        <w:spacing w:before="200" w:after="60"/>
      </w:pPr>
      <w:r>
        <w:rPr>
          <w:b/>
          <w:bCs/>
          <w:color w:val="0E7C86"/>
        </w:rPr>
        <w:t>2.  The teacher guide treats formative data as instructional input, not paperwork.</w:t>
      </w:r>
    </w:p>
    <w:p w14:paraId="54A76214" w14:textId="49516C80" w:rsidR="000D0AEA" w:rsidRDefault="00423AFC">
      <w:pPr>
        <w:spacing w:after="80" w:line="276" w:lineRule="auto"/>
      </w:pPr>
      <w:r>
        <w:rPr>
          <w:color w:val="1E293B"/>
        </w:rPr>
        <w:t>The exit ticket is reviewed before class, not after. The facilitation guide includes a triage table that tells the teacher exactly what to do in the first seven minutes of class based on what students wrote. This reflects Harris and Jones's (2021) argument that 'measuring student learning during instruction provides instructors with important information about how students are progressing toward learning objectives while there is still time to adjust instruction.' The struggle signal panels extend this further: rather than general guidance, they provide specific verbal cues, specific behavioral patterns, and specific in-the-moment moves. A teacher who has never seen a student confuse oncogenes with tumor suppressors now knows exactly what that sounds like and what to say in response.</w:t>
      </w:r>
    </w:p>
    <w:p w14:paraId="346A8204" w14:textId="77777777" w:rsidR="000D0AEA" w:rsidRDefault="000D0AEA">
      <w:pPr>
        <w:spacing w:before="120"/>
      </w:pPr>
    </w:p>
    <w:p w14:paraId="750AAABE" w14:textId="77777777" w:rsidR="000D0AEA" w:rsidRDefault="00423AFC">
      <w:pPr>
        <w:spacing w:before="200" w:after="60"/>
      </w:pPr>
      <w:r>
        <w:rPr>
          <w:b/>
          <w:bCs/>
          <w:color w:val="0E7C86"/>
        </w:rPr>
        <w:t>3.  Analogies are structural, not stylistic.</w:t>
      </w:r>
    </w:p>
    <w:p w14:paraId="35452C51" w14:textId="65B0DFED" w:rsidR="000D0AEA" w:rsidRDefault="00423AFC">
      <w:pPr>
        <w:spacing w:after="80" w:line="276" w:lineRule="auto"/>
      </w:pPr>
      <w:r>
        <w:rPr>
          <w:color w:val="1E293B"/>
        </w:rPr>
        <w:t>The factory quality-control analogy for checkpoints, the car brake/accelerator analogy for mutation types, and the two-hit hypothesis diagram all appear in multiple documents. Sweller's cognitive load theory (2019) explains why: learners who lack prior knowledge schemas must work harder to process new information because they cannot chunk it into existing structures. A well-chosen analogy provides that structure. The car analogy is particularly important because the distinction between gain-of-function (oncogene) and loss-of-function (tumor suppressor) mutations is the most consistently confused concept in adolescent biology instruction. Students tend to lump both into 'bad genes.' The analogy makes the mechanistic distinction visceral: one is a stuck accelerator, the other is no brakes. These are different problems that require different solutions, and that distinction matters directly in the design of targeted cancer therapies.</w:t>
      </w:r>
    </w:p>
    <w:p w14:paraId="00DD0001" w14:textId="77777777" w:rsidR="000D0AEA" w:rsidRDefault="00423AFC">
      <w:pPr>
        <w:spacing w:before="200" w:after="60"/>
      </w:pPr>
      <w:r>
        <w:rPr>
          <w:b/>
          <w:bCs/>
          <w:color w:val="0E7C86"/>
        </w:rPr>
        <w:t>4.  The Tumor Board structures expert thinking, not just group activity.</w:t>
      </w:r>
    </w:p>
    <w:p w14:paraId="00DD0002" w14:textId="77777777" w:rsidR="000D0AEA" w:rsidRDefault="00423AFC">
      <w:pPr>
        <w:spacing w:before="60" w:after="100" w:line="276" w:lineRule="auto"/>
      </w:pPr>
      <w:r>
        <w:rPr>
          <w:color w:val="1E293B"/>
        </w:rPr>
        <w:t xml:space="preserve">The most common failure mode in small-group science instruction is the ‘pooling of ignorance’ problem: students share what they already believe, reinforce each other’s misconceptions, and produce a consensus that is more confident and no more accurate than what any individual held at the start. Assigning specialist roles is the structural intervention against this. When each student enters the group having analyzed the same case through a different disciplinary lens — the Molecular Biologist focusing on which genes are mutated, the Pathologist on cell behavior, the Oncologist on treatment implications, the Patient Advocate on the human stakes — the group’s collective knowledge space is genuinely wider than any one member’s. Ge and Land (2003) show that structured peer interaction organized around distinct problem-solving roles produces the kind of high-level discourse (asking for clarification, elaborating, reaching consensus through evidence) that unstructured group work rarely achieves with novice learners.</w:t>
      </w:r>
    </w:p>
    <w:p w14:paraId="00DD0003" w14:textId="77777777" w:rsidR="000D0AEA" w:rsidRDefault="00423AFC">
      <w:pPr>
        <w:spacing w:before="60" w:after="100" w:line="276" w:lineRule="auto"/>
      </w:pPr>
      <w:r>
        <w:rPr>
          <w:color w:val="1E293B"/>
        </w:rPr>
        <w:t xml:space="preserve">The consensus form at the bottom of the Tumor Board document operationalizes this integration step. Students cannot complete it by simply reporting their role’s conclusions; they must adjudicate among perspectives and commit to a shared diagnosis. This mirrors the actual clinical function of a tumor board in a cancer hospital — where oncologists, pathologists, and researchers must reach actionable consensus about a specific patient’s case. Placing ninth-grade students in that frame is not cosmetic: it activates the ‘researcher’ identity that Keller’s (1987) ARCS model identifies as a key driver of relevance, and it gives the abstract biology of checkpoint mutations a concrete human purpose that is particularly meaningful in a children’s cancer research hospital context.</w:t>
      </w:r>
    </w:p>
    <w:p w14:paraId="39C1EB7B" w14:textId="77777777" w:rsidR="000D0AEA" w:rsidRDefault="000D0AEA">
      <w:pPr>
        <w:spacing w:before="160"/>
      </w:pPr>
    </w:p>
    <w:p w14:paraId="5F738F2B" w14:textId="7E75E801" w:rsidR="000D0AEA" w:rsidRDefault="00423AFC">
      <w:pPr>
        <w:pBdr>
          <w:bottom w:val="single" w:sz="4" w:space="0" w:color="1A3A5C"/>
        </w:pBdr>
        <w:spacing w:before="320" w:after="80"/>
      </w:pPr>
      <w:r>
        <w:rPr>
          <w:b/>
          <w:bCs/>
          <w:smallCaps/>
          <w:color w:val="0E7C86"/>
          <w:sz w:val="17"/>
          <w:szCs w:val="17"/>
        </w:rPr>
        <w:t>04 Research Grounding</w:t>
      </w:r>
    </w:p>
    <w:p w14:paraId="6F485B61" w14:textId="36ABF8D6" w:rsidR="000D0AEA" w:rsidRDefault="00423AFC">
      <w:pPr>
        <w:spacing w:before="80" w:after="120" w:line="276" w:lineRule="auto"/>
      </w:pPr>
      <w:r>
        <w:rPr>
          <w:color w:val="1E293B"/>
        </w:rPr>
        <w:t>STEMM Education &amp; Outreach teams at children's cancer research hospitals design learning experiences that help K–16 students understand complex biomedical concepts and connect them to real-world research and patient care. Every design decision in this module was made with that mission explicitly in mind, not added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D0AEA" w14:paraId="23B58378" w14:textId="77777777">
        <w:tc>
          <w:tcPr>
            <w:tcW w:w="3120" w:type="dxa"/>
            <w:tcBorders>
              <w:top w:val="single" w:sz="1" w:space="0" w:color="D1E4F0"/>
              <w:left w:val="single" w:sz="1" w:space="0" w:color="D1E4F0"/>
              <w:bottom w:val="single" w:sz="1" w:space="0" w:color="D1E4F0"/>
              <w:right w:val="single" w:sz="1" w:space="0" w:color="D1E4F0"/>
            </w:tcBorders>
            <w:shd w:val="clear" w:color="auto" w:fill="0E7C86"/>
            <w:tcMar>
              <w:top w:w="100" w:type="dxa"/>
              <w:left w:w="160" w:type="dxa"/>
              <w:bottom w:w="100" w:type="dxa"/>
              <w:right w:w="160" w:type="dxa"/>
            </w:tcMar>
          </w:tcPr>
          <w:p w14:paraId="45E6949F" w14:textId="77777777" w:rsidR="000D0AEA" w:rsidRDefault="00423AFC">
            <w:r>
              <w:rPr>
                <w:b/>
                <w:bCs/>
                <w:smallCaps/>
                <w:color w:val="FFFFFF"/>
                <w:sz w:val="20"/>
                <w:szCs w:val="20"/>
              </w:rPr>
              <w:t>Biomedical Accuracy</w:t>
            </w:r>
          </w:p>
        </w:tc>
        <w:tc>
          <w:tcPr>
            <w:tcW w:w="3120" w:type="dxa"/>
            <w:tcBorders>
              <w:top w:val="single" w:sz="1" w:space="0" w:color="D1E4F0"/>
              <w:left w:val="single" w:sz="1" w:space="0" w:color="D1E4F0"/>
              <w:bottom w:val="single" w:sz="1" w:space="0" w:color="D1E4F0"/>
              <w:right w:val="single" w:sz="1" w:space="0" w:color="D1E4F0"/>
            </w:tcBorders>
            <w:shd w:val="clear" w:color="auto" w:fill="1A3A5C"/>
            <w:tcMar>
              <w:top w:w="100" w:type="dxa"/>
              <w:left w:w="160" w:type="dxa"/>
              <w:bottom w:w="100" w:type="dxa"/>
              <w:right w:w="160" w:type="dxa"/>
            </w:tcMar>
          </w:tcPr>
          <w:p w14:paraId="39E05F52" w14:textId="77777777" w:rsidR="000D0AEA" w:rsidRDefault="00423AFC">
            <w:r>
              <w:rPr>
                <w:b/>
                <w:bCs/>
                <w:smallCaps/>
                <w:color w:val="FFFFFF"/>
                <w:sz w:val="20"/>
                <w:szCs w:val="20"/>
              </w:rPr>
              <w:t>Research Connection</w:t>
            </w:r>
          </w:p>
        </w:tc>
        <w:tc>
          <w:tcPr>
            <w:tcW w:w="3120" w:type="dxa"/>
            <w:tcBorders>
              <w:top w:val="single" w:sz="1" w:space="0" w:color="D1E4F0"/>
              <w:left w:val="single" w:sz="1" w:space="0" w:color="D1E4F0"/>
              <w:bottom w:val="single" w:sz="1" w:space="0" w:color="D1E4F0"/>
              <w:right w:val="single" w:sz="1" w:space="0" w:color="D1E4F0"/>
            </w:tcBorders>
            <w:shd w:val="clear" w:color="auto" w:fill="C8102E"/>
            <w:tcMar>
              <w:top w:w="100" w:type="dxa"/>
              <w:left w:w="160" w:type="dxa"/>
              <w:bottom w:w="100" w:type="dxa"/>
              <w:right w:w="160" w:type="dxa"/>
            </w:tcMar>
          </w:tcPr>
          <w:p w14:paraId="6FB5922C" w14:textId="77777777" w:rsidR="000D0AEA" w:rsidRDefault="00423AFC">
            <w:r>
              <w:rPr>
                <w:b/>
                <w:bCs/>
                <w:smallCaps/>
                <w:color w:val="FFFFFF"/>
                <w:sz w:val="20"/>
                <w:szCs w:val="20"/>
              </w:rPr>
              <w:t>Patient Care Context</w:t>
            </w:r>
          </w:p>
        </w:tc>
      </w:tr>
      <w:tr w:rsidR="000D0AEA" w14:paraId="1F926ACD" w14:textId="77777777">
        <w:tc>
          <w:tcPr>
            <w:tcW w:w="3120" w:type="dxa"/>
            <w:tcBorders>
              <w:top w:val="single" w:sz="1" w:space="0" w:color="D1E4F0"/>
              <w:left w:val="single" w:sz="1" w:space="0" w:color="D1E4F0"/>
              <w:bottom w:val="single" w:sz="1" w:space="0" w:color="D1E4F0"/>
              <w:right w:val="single" w:sz="1" w:space="0" w:color="D1E4F0"/>
            </w:tcBorders>
            <w:shd w:val="clear" w:color="auto" w:fill="EBF7F8"/>
            <w:tcMar>
              <w:top w:w="100" w:type="dxa"/>
              <w:left w:w="160" w:type="dxa"/>
              <w:bottom w:w="100" w:type="dxa"/>
              <w:right w:w="160" w:type="dxa"/>
            </w:tcMar>
          </w:tcPr>
          <w:p w14:paraId="05815236" w14:textId="0C45C1DD" w:rsidR="000D0AEA" w:rsidRDefault="00423AFC">
            <w:pPr>
              <w:spacing w:line="264" w:lineRule="auto"/>
            </w:pPr>
            <w:r>
              <w:rPr>
                <w:color w:val="1E293B"/>
                <w:sz w:val="20"/>
                <w:szCs w:val="20"/>
              </w:rPr>
              <w:lastRenderedPageBreak/>
              <w:t>Content is anchored to TP53 mutations and RAS oncogenes — specific, documented areas of pediatric cancer research, not generic biology. The survival rate statistic (ALL: under 10% in the 1960s to over 90% today) is accurate and attributable.</w:t>
            </w:r>
          </w:p>
        </w:tc>
        <w:tc>
          <w:tcPr>
            <w:tcW w:w="312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D3B9D42" w14:textId="7E476D41" w:rsidR="000D0AEA" w:rsidRDefault="00423AFC">
            <w:pPr>
              <w:spacing w:line="264" w:lineRule="auto"/>
            </w:pPr>
            <w:r>
              <w:rPr>
                <w:color w:val="1E293B"/>
                <w:sz w:val="20"/>
                <w:szCs w:val="20"/>
              </w:rPr>
              <w:t>Lesson 4 introduces students to publicly accessible genomic data portals containing data from pediatric cancer patients. Students interact with actual research infrastructure. They are not simulating research; they are adjacent to it.</w:t>
            </w:r>
          </w:p>
        </w:tc>
        <w:tc>
          <w:tcPr>
            <w:tcW w:w="3120" w:type="dxa"/>
            <w:tcBorders>
              <w:top w:val="single" w:sz="1" w:space="0" w:color="D1E4F0"/>
              <w:left w:val="single" w:sz="1" w:space="0" w:color="D1E4F0"/>
              <w:bottom w:val="single" w:sz="1" w:space="0" w:color="D1E4F0"/>
              <w:right w:val="single" w:sz="1" w:space="0" w:color="D1E4F0"/>
            </w:tcBorders>
            <w:shd w:val="clear" w:color="auto" w:fill="FFF0F2"/>
            <w:tcMar>
              <w:top w:w="100" w:type="dxa"/>
              <w:left w:w="160" w:type="dxa"/>
              <w:bottom w:w="100" w:type="dxa"/>
              <w:right w:w="160" w:type="dxa"/>
            </w:tcMar>
          </w:tcPr>
          <w:p w14:paraId="030CDD4C" w14:textId="7F58B45D" w:rsidR="000D0AEA" w:rsidRDefault="00423AFC">
            <w:pPr>
              <w:spacing w:line="264" w:lineRule="auto"/>
            </w:pPr>
            <w:r>
              <w:rPr>
                <w:color w:val="1E293B"/>
                <w:sz w:val="20"/>
                <w:szCs w:val="20"/>
              </w:rPr>
              <w:t>Maya's case is built on the real biology of Acute lymphoblastic leukemia (ALL) — lymphoblasts, bone marrow, tumor suppressor mutations in lymphocyte development. The case is fictional but not fictionalized. A pediatric cancer clinician would recognize the scenario.</w:t>
            </w:r>
          </w:p>
        </w:tc>
      </w:tr>
    </w:tbl>
    <w:p w14:paraId="4F180B2C" w14:textId="77777777" w:rsidR="000D0AEA" w:rsidRDefault="000D0AEA">
      <w:pPr>
        <w:spacing w:before="160"/>
      </w:pPr>
    </w:p>
    <w:p w14:paraId="68717983" w14:textId="77777777" w:rsidR="000D0AEA" w:rsidRDefault="00423AFC">
      <w:pPr>
        <w:pBdr>
          <w:bottom w:val="single" w:sz="4" w:space="0" w:color="1A3A5C"/>
        </w:pBdr>
        <w:spacing w:before="320" w:after="80"/>
      </w:pPr>
      <w:r>
        <w:rPr>
          <w:b/>
          <w:bCs/>
          <w:smallCaps/>
          <w:color w:val="0E7C86"/>
          <w:sz w:val="17"/>
          <w:szCs w:val="17"/>
        </w:rPr>
        <w:t>05  Module Overview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280"/>
        <w:gridCol w:w="2280"/>
        <w:gridCol w:w="1800"/>
      </w:tblGrid>
      <w:tr w:rsidR="000D0AEA" w14:paraId="11988EC5" w14:textId="77777777">
        <w:tc>
          <w:tcPr>
            <w:tcW w:w="9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644F9152" w14:textId="77777777" w:rsidR="000D0AEA" w:rsidRDefault="00423AFC">
            <w:r>
              <w:rPr>
                <w:b/>
                <w:bCs/>
                <w:smallCaps/>
                <w:color w:val="FFFFFF"/>
                <w:sz w:val="20"/>
                <w:szCs w:val="20"/>
              </w:rPr>
              <w:t>#</w:t>
            </w:r>
          </w:p>
        </w:tc>
        <w:tc>
          <w:tcPr>
            <w:tcW w:w="21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5B86E4DB" w14:textId="77777777" w:rsidR="000D0AEA" w:rsidRDefault="00423AFC">
            <w:r>
              <w:rPr>
                <w:b/>
                <w:bCs/>
                <w:smallCaps/>
                <w:color w:val="FFFFFF"/>
                <w:sz w:val="20"/>
                <w:szCs w:val="20"/>
              </w:rPr>
              <w:t>Lesson</w:t>
            </w:r>
          </w:p>
        </w:tc>
        <w:tc>
          <w:tcPr>
            <w:tcW w:w="228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61069F3E" w14:textId="77777777" w:rsidR="000D0AEA" w:rsidRDefault="00423AFC">
            <w:r>
              <w:rPr>
                <w:b/>
                <w:bCs/>
                <w:smallCaps/>
                <w:color w:val="FFFFFF"/>
                <w:sz w:val="20"/>
                <w:szCs w:val="20"/>
              </w:rPr>
              <w:t>Online (Independent)</w:t>
            </w:r>
          </w:p>
        </w:tc>
        <w:tc>
          <w:tcPr>
            <w:tcW w:w="228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5617E6C3" w14:textId="77777777" w:rsidR="000D0AEA" w:rsidRDefault="00423AFC">
            <w:r>
              <w:rPr>
                <w:b/>
                <w:bCs/>
                <w:smallCaps/>
                <w:color w:val="FFFFFF"/>
                <w:sz w:val="20"/>
                <w:szCs w:val="20"/>
              </w:rPr>
              <w:t>In-Class Application</w:t>
            </w:r>
          </w:p>
        </w:tc>
        <w:tc>
          <w:tcPr>
            <w:tcW w:w="1800" w:type="dxa"/>
            <w:tcBorders>
              <w:top w:val="single" w:sz="1" w:space="0" w:color="D1E4F0"/>
              <w:left w:val="single" w:sz="1" w:space="0" w:color="D1E4F0"/>
              <w:bottom w:val="single" w:sz="1" w:space="0" w:color="D1E4F0"/>
              <w:right w:val="single" w:sz="1" w:space="0" w:color="D1E4F0"/>
            </w:tcBorders>
            <w:shd w:val="clear" w:color="auto" w:fill="1E293B"/>
            <w:tcMar>
              <w:top w:w="100" w:type="dxa"/>
              <w:left w:w="160" w:type="dxa"/>
              <w:bottom w:w="100" w:type="dxa"/>
              <w:right w:w="160" w:type="dxa"/>
            </w:tcMar>
          </w:tcPr>
          <w:p w14:paraId="6DFCAD7D" w14:textId="77777777" w:rsidR="000D0AEA" w:rsidRDefault="00423AFC">
            <w:r>
              <w:rPr>
                <w:b/>
                <w:bCs/>
                <w:smallCaps/>
                <w:color w:val="FFFFFF"/>
                <w:sz w:val="20"/>
                <w:szCs w:val="20"/>
              </w:rPr>
              <w:t>Bloom's Level</w:t>
            </w:r>
          </w:p>
        </w:tc>
      </w:tr>
      <w:tr w:rsidR="000D0AEA" w14:paraId="761DD282" w14:textId="77777777">
        <w:tc>
          <w:tcPr>
            <w:tcW w:w="9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24A9E6DF" w14:textId="77777777" w:rsidR="000D0AEA" w:rsidRDefault="00423AFC">
            <w:r>
              <w:rPr>
                <w:b/>
                <w:bCs/>
                <w:color w:val="0E7C86"/>
                <w:sz w:val="21"/>
                <w:szCs w:val="21"/>
              </w:rPr>
              <w:t>1</w:t>
            </w:r>
          </w:p>
        </w:tc>
        <w:tc>
          <w:tcPr>
            <w:tcW w:w="21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250AC18B" w14:textId="77777777" w:rsidR="000D0AEA" w:rsidRDefault="00423AFC">
            <w:r>
              <w:rPr>
                <w:color w:val="1E293B"/>
                <w:sz w:val="20"/>
                <w:szCs w:val="20"/>
              </w:rPr>
              <w:t>The Normal Cell Cycle</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28AFC4BE" w14:textId="77777777" w:rsidR="000D0AEA" w:rsidRDefault="00423AFC">
            <w:pPr>
              <w:spacing w:line="252" w:lineRule="auto"/>
            </w:pPr>
            <w:r>
              <w:rPr>
                <w:color w:val="1E293B"/>
                <w:sz w:val="20"/>
                <w:szCs w:val="20"/>
              </w:rPr>
              <w:t>Narrated module + mitosis simulation + embedded checks</w:t>
            </w:r>
          </w:p>
        </w:tc>
        <w:tc>
          <w:tcPr>
            <w:tcW w:w="228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7A1B7F4B" w14:textId="77777777" w:rsidR="000D0AEA" w:rsidRDefault="00423AFC">
            <w:pPr>
              <w:spacing w:line="252" w:lineRule="auto"/>
            </w:pPr>
            <w:r>
              <w:rPr>
                <w:color w:val="1E293B"/>
                <w:sz w:val="20"/>
                <w:szCs w:val="20"/>
              </w:rPr>
              <w:t>Collaborative card sort — match phases to checkpoint functions</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BEF4B06" w14:textId="77777777" w:rsidR="000D0AEA" w:rsidRDefault="00423AFC">
            <w:r>
              <w:rPr>
                <w:b/>
                <w:bCs/>
                <w:color w:val="0E7C86"/>
                <w:sz w:val="20"/>
                <w:szCs w:val="20"/>
              </w:rPr>
              <w:t>Remember → Understand</w:t>
            </w:r>
          </w:p>
        </w:tc>
      </w:tr>
      <w:tr w:rsidR="000D0AEA" w14:paraId="7AB47430" w14:textId="77777777">
        <w:tc>
          <w:tcPr>
            <w:tcW w:w="9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7121C14E" w14:textId="77777777" w:rsidR="000D0AEA" w:rsidRDefault="00423AFC">
            <w:r>
              <w:rPr>
                <w:b/>
                <w:bCs/>
                <w:color w:val="C8102E"/>
                <w:sz w:val="21"/>
                <w:szCs w:val="21"/>
              </w:rPr>
              <w:t>2 ★</w:t>
            </w:r>
          </w:p>
        </w:tc>
        <w:tc>
          <w:tcPr>
            <w:tcW w:w="21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3701C5BF" w14:textId="77777777" w:rsidR="000D0AEA" w:rsidRDefault="00423AFC">
            <w:r>
              <w:rPr>
                <w:b/>
                <w:bCs/>
                <w:color w:val="C8102E"/>
                <w:sz w:val="20"/>
                <w:szCs w:val="20"/>
              </w:rPr>
              <w:t>When Controls Break Down</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5A0C0654" w14:textId="77777777" w:rsidR="000D0AEA" w:rsidRDefault="00423AFC">
            <w:pPr>
              <w:spacing w:line="252" w:lineRule="auto"/>
            </w:pPr>
            <w:r>
              <w:rPr>
                <w:color w:val="1E293B"/>
                <w:sz w:val="20"/>
                <w:szCs w:val="20"/>
              </w:rPr>
              <w:t>Digital lesson + checkpoint mutation simulator + exit ticket</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A5BAB78" w14:textId="77777777" w:rsidR="000D0AEA" w:rsidRDefault="00423AFC">
            <w:pPr>
              <w:spacing w:line="252" w:lineRule="auto"/>
            </w:pPr>
            <w:r>
              <w:rPr>
                <w:color w:val="1E293B"/>
                <w:sz w:val="20"/>
                <w:szCs w:val="20"/>
              </w:rPr>
              <w:t>Tumor Board: The Maya Case — four specialist roles (Molecular Biologist, Pathologist, Oncologist, Patient Advocate), group consensus form, whole-class debrief</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9CDE419" w14:textId="77777777" w:rsidR="000D0AEA" w:rsidRDefault="00423AFC">
            <w:r>
              <w:rPr>
                <w:b/>
                <w:bCs/>
                <w:color w:val="0E7C86"/>
                <w:sz w:val="20"/>
                <w:szCs w:val="20"/>
              </w:rPr>
              <w:t>Understand → Analyze</w:t>
            </w:r>
          </w:p>
        </w:tc>
      </w:tr>
      <w:tr w:rsidR="000D0AEA" w14:paraId="135761D9" w14:textId="77777777">
        <w:tc>
          <w:tcPr>
            <w:tcW w:w="9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77DA3EDC" w14:textId="77777777" w:rsidR="000D0AEA" w:rsidRDefault="00423AFC">
            <w:r>
              <w:rPr>
                <w:b/>
                <w:bCs/>
                <w:color w:val="0E7C86"/>
                <w:sz w:val="21"/>
                <w:szCs w:val="21"/>
              </w:rPr>
              <w:t>3</w:t>
            </w:r>
          </w:p>
        </w:tc>
        <w:tc>
          <w:tcPr>
            <w:tcW w:w="210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0AAA6DA5" w14:textId="77777777" w:rsidR="000D0AEA" w:rsidRDefault="00423AFC">
            <w:r>
              <w:rPr>
                <w:color w:val="1E293B"/>
                <w:sz w:val="20"/>
                <w:szCs w:val="20"/>
              </w:rPr>
              <w:t>The Genetics of Cancer</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73CFFD3" w14:textId="77777777" w:rsidR="000D0AEA" w:rsidRDefault="00423AFC">
            <w:pPr>
              <w:spacing w:line="252" w:lineRule="auto"/>
            </w:pPr>
            <w:r>
              <w:rPr>
                <w:color w:val="1E293B"/>
                <w:sz w:val="20"/>
                <w:szCs w:val="20"/>
              </w:rPr>
              <w:t>Oncogenes vs. tumor suppressors + guided note-taking</w:t>
            </w:r>
          </w:p>
        </w:tc>
        <w:tc>
          <w:tcPr>
            <w:tcW w:w="2280" w:type="dxa"/>
            <w:tcBorders>
              <w:top w:val="single" w:sz="1" w:space="0" w:color="D1E4F0"/>
              <w:left w:val="single" w:sz="1" w:space="0" w:color="D1E4F0"/>
              <w:bottom w:val="single" w:sz="1" w:space="0" w:color="D1E4F0"/>
              <w:right w:val="single" w:sz="1" w:space="0" w:color="D1E4F0"/>
            </w:tcBorders>
            <w:shd w:val="clear" w:color="auto" w:fill="EEF5FB"/>
            <w:tcMar>
              <w:top w:w="100" w:type="dxa"/>
              <w:left w:w="160" w:type="dxa"/>
              <w:bottom w:w="100" w:type="dxa"/>
              <w:right w:w="160" w:type="dxa"/>
            </w:tcMar>
          </w:tcPr>
          <w:p w14:paraId="0A2F13ED" w14:textId="77777777" w:rsidR="000D0AEA" w:rsidRDefault="00423AFC">
            <w:pPr>
              <w:spacing w:line="252" w:lineRule="auto"/>
            </w:pPr>
            <w:r>
              <w:rPr>
                <w:color w:val="1E293B"/>
                <w:sz w:val="20"/>
                <w:szCs w:val="20"/>
              </w:rPr>
              <w:t>Modeling activity — students 'run' a cell with broken DNA repair</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B1C2F82" w14:textId="77777777" w:rsidR="000D0AEA" w:rsidRDefault="00423AFC">
            <w:r>
              <w:rPr>
                <w:b/>
                <w:bCs/>
                <w:color w:val="0E7C86"/>
                <w:sz w:val="20"/>
                <w:szCs w:val="20"/>
              </w:rPr>
              <w:t>Analyze → Evaluate</w:t>
            </w:r>
          </w:p>
        </w:tc>
      </w:tr>
      <w:tr w:rsidR="000D0AEA" w14:paraId="4904C096" w14:textId="77777777">
        <w:tc>
          <w:tcPr>
            <w:tcW w:w="9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A519096" w14:textId="77777777" w:rsidR="000D0AEA" w:rsidRDefault="00423AFC">
            <w:r>
              <w:rPr>
                <w:b/>
                <w:bCs/>
                <w:color w:val="0E7C86"/>
                <w:sz w:val="21"/>
                <w:szCs w:val="21"/>
              </w:rPr>
              <w:t>4</w:t>
            </w:r>
          </w:p>
        </w:tc>
        <w:tc>
          <w:tcPr>
            <w:tcW w:w="21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46247A4C" w14:textId="77777777" w:rsidR="000D0AEA" w:rsidRDefault="00423AFC">
            <w:r>
              <w:rPr>
                <w:color w:val="1E293B"/>
                <w:sz w:val="20"/>
                <w:szCs w:val="20"/>
              </w:rPr>
              <w:t>Fighting Back: Lab to Patient</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0748B1B" w14:textId="77777777" w:rsidR="000D0AEA" w:rsidRDefault="00423AFC">
            <w:pPr>
              <w:spacing w:line="252" w:lineRule="auto"/>
            </w:pPr>
            <w:r>
              <w:rPr>
                <w:color w:val="1E293B"/>
                <w:sz w:val="20"/>
                <w:szCs w:val="20"/>
              </w:rPr>
              <w:t>pediatric cancer researcher video + genomic data portals data exploration</w:t>
            </w:r>
          </w:p>
        </w:tc>
        <w:tc>
          <w:tcPr>
            <w:tcW w:w="228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120947F4" w14:textId="77777777" w:rsidR="000D0AEA" w:rsidRDefault="00423AFC">
            <w:pPr>
              <w:spacing w:line="252" w:lineRule="auto"/>
            </w:pPr>
            <w:r>
              <w:rPr>
                <w:color w:val="1E293B"/>
                <w:sz w:val="20"/>
                <w:szCs w:val="20"/>
              </w:rPr>
              <w:t>Design challenge — propose a treatment strategy for a patient profile</w:t>
            </w:r>
          </w:p>
        </w:tc>
        <w:tc>
          <w:tcPr>
            <w:tcW w:w="1800" w:type="dxa"/>
            <w:tcBorders>
              <w:top w:val="single" w:sz="1" w:space="0" w:color="D1E4F0"/>
              <w:left w:val="single" w:sz="1" w:space="0" w:color="D1E4F0"/>
              <w:bottom w:val="single" w:sz="1" w:space="0" w:color="D1E4F0"/>
              <w:right w:val="single" w:sz="1" w:space="0" w:color="D1E4F0"/>
            </w:tcBorders>
            <w:shd w:val="clear" w:color="auto" w:fill="FFFFFF"/>
            <w:tcMar>
              <w:top w:w="100" w:type="dxa"/>
              <w:left w:w="160" w:type="dxa"/>
              <w:bottom w:w="100" w:type="dxa"/>
              <w:right w:w="160" w:type="dxa"/>
            </w:tcMar>
          </w:tcPr>
          <w:p w14:paraId="091A1783" w14:textId="77777777" w:rsidR="000D0AEA" w:rsidRDefault="00423AFC">
            <w:r>
              <w:rPr>
                <w:b/>
                <w:bCs/>
                <w:color w:val="0E7C86"/>
                <w:sz w:val="20"/>
                <w:szCs w:val="20"/>
              </w:rPr>
              <w:t>Evaluate → Create</w:t>
            </w:r>
          </w:p>
        </w:tc>
      </w:tr>
    </w:tbl>
    <w:p w14:paraId="565D2155" w14:textId="74861B6B" w:rsidR="000D0AEA" w:rsidRDefault="00423AFC">
      <w:pPr>
        <w:spacing w:before="80"/>
      </w:pPr>
      <w:r>
        <w:rPr>
          <w:color w:val="C8102E"/>
          <w:sz w:val="19"/>
          <w:szCs w:val="19"/>
        </w:rPr>
        <w:t>★ Lesson 2 is the sample lesson presented in this interview.</w:t>
      </w:r>
    </w:p>
    <w:p w14:paraId="4DD48C26" w14:textId="77777777" w:rsidR="000D0AEA" w:rsidRDefault="000D0AEA">
      <w:pPr>
        <w:spacing w:before="160"/>
      </w:pPr>
    </w:p>
    <w:p w14:paraId="6E117893" w14:textId="6297D40E" w:rsidR="000D0AEA" w:rsidRDefault="00423AFC">
      <w:pPr>
        <w:pBdr>
          <w:bottom w:val="single" w:sz="4" w:space="0" w:color="1A3A5C"/>
        </w:pBdr>
        <w:spacing w:before="320" w:after="80"/>
      </w:pPr>
      <w:r>
        <w:rPr>
          <w:b/>
          <w:bCs/>
          <w:smallCaps/>
          <w:color w:val="0E7C86"/>
          <w:sz w:val="17"/>
          <w:szCs w:val="17"/>
        </w:rPr>
        <w:t>06 References</w:t>
      </w:r>
    </w:p>
    <w:p w14:paraId="2F4B9963" w14:textId="77777777" w:rsidR="000D0AEA" w:rsidRDefault="000D0AEA">
      <w:pPr>
        <w:spacing w:before="80"/>
      </w:pPr>
    </w:p>
    <w:p w14:paraId="6EB27743" w14:textId="686BE594" w:rsidR="00223227" w:rsidRPr="00223227" w:rsidRDefault="007D664E" w:rsidP="00223227">
      <w:pPr>
        <w:spacing w:after="100" w:line="264" w:lineRule="auto"/>
        <w:ind w:left="720" w:hanging="720"/>
        <w:rPr>
          <w:color w:val="1E293B"/>
          <w:sz w:val="20"/>
          <w:szCs w:val="20"/>
        </w:rPr>
      </w:pPr>
      <w:r>
        <w:rPr>
          <w:color w:val="1E293B"/>
          <w:sz w:val="20"/>
          <w:szCs w:val="20"/>
        </w:rPr>
        <w:t>Anderson, L. W., &amp; Krathwohl, D. R. (2001). </w:t>
      </w:r>
      <w:r>
        <w:rPr>
          <w:i/>
          <w:iCs/>
          <w:color w:val="1E293B"/>
          <w:sz w:val="20"/>
          <w:szCs w:val="20"/>
        </w:rPr>
        <w:t>A taxonomy for learning, teaching, and assessing: A revision of Bloom's taxonomy of educational objectives: complete edition</w:t>
      </w:r>
      <w:r>
        <w:rPr>
          <w:color w:val="1E293B"/>
          <w:sz w:val="20"/>
          <w:szCs w:val="20"/>
        </w:rPr>
        <w:t xml:space="preserve">. Addison Wesley Longman, Inc. </w:t>
      </w:r>
      <w:hyperlink r:id="rId7" w:history="1">
        <w:r>
          <w:rPr>
            <w:rStyle w:val="Hyperlink"/>
            <w:sz w:val="20"/>
            <w:szCs w:val="20"/>
          </w:rPr>
          <w:t>http://eduq.info/xmlui/handle/11515/18824</w:t>
        </w:r>
      </w:hyperlink>
    </w:p>
    <w:p w14:paraId="27DAF7A6" w14:textId="3D5B678C" w:rsidR="000D0AEA" w:rsidRDefault="00423AFC">
      <w:pPr>
        <w:spacing w:after="100" w:line="264" w:lineRule="auto"/>
        <w:ind w:left="720" w:hanging="720"/>
        <w:rPr>
          <w:color w:val="1E293B"/>
          <w:sz w:val="20"/>
          <w:szCs w:val="20"/>
        </w:rPr>
      </w:pPr>
      <w:r>
        <w:rPr>
          <w:color w:val="1E293B"/>
          <w:sz w:val="20"/>
          <w:szCs w:val="20"/>
        </w:rPr>
        <w:t xml:space="preserve">Belland, B. R., Kim, C., &amp; Hannafin, M. J. (2013). A framework for designing scaffolds that improve motivation and cognition. Educational Psychologist, 48(4), 243–270. </w:t>
      </w:r>
      <w:hyperlink r:id="rId8" w:history="1">
        <w:r>
          <w:rPr>
            <w:rStyle w:val="Hyperlink"/>
            <w:sz w:val="20"/>
            <w:szCs w:val="20"/>
          </w:rPr>
          <w:t>https://doi.org/10.1080/00461520.2013.838920</w:t>
        </w:r>
      </w:hyperlink>
    </w:p>
    <w:p w14:paraId="359D1C22" w14:textId="56130671" w:rsidR="00223227" w:rsidRPr="00223227" w:rsidRDefault="00423AFC" w:rsidP="00223227">
      <w:pPr>
        <w:spacing w:after="100" w:line="264" w:lineRule="auto"/>
        <w:ind w:left="720" w:hanging="720"/>
        <w:rPr>
          <w:color w:val="1E293B"/>
          <w:sz w:val="20"/>
          <w:szCs w:val="20"/>
        </w:rPr>
      </w:pPr>
      <w:r>
        <w:rPr>
          <w:color w:val="1E293B"/>
          <w:sz w:val="20"/>
          <w:szCs w:val="20"/>
        </w:rPr>
        <w:t xml:space="preserve">Debattista, M. (2018). A comprehensive rubric for instructional design in e-learning. </w:t>
      </w:r>
      <w:r>
        <w:rPr>
          <w:i/>
          <w:iCs/>
          <w:color w:val="1E293B"/>
          <w:sz w:val="20"/>
          <w:szCs w:val="20"/>
        </w:rPr>
        <w:t>International Journal on E-Learning</w:t>
      </w:r>
      <w:r>
        <w:rPr>
          <w:color w:val="1E293B"/>
          <w:sz w:val="20"/>
          <w:szCs w:val="20"/>
        </w:rPr>
        <w:t xml:space="preserve">, </w:t>
      </w:r>
      <w:r>
        <w:rPr>
          <w:i/>
          <w:iCs/>
          <w:color w:val="1E293B"/>
          <w:sz w:val="20"/>
          <w:szCs w:val="20"/>
        </w:rPr>
        <w:t>17</w:t>
      </w:r>
      <w:r>
        <w:rPr>
          <w:color w:val="1E293B"/>
          <w:sz w:val="20"/>
          <w:szCs w:val="20"/>
        </w:rPr>
        <w:t xml:space="preserve">(2), 171–188. </w:t>
      </w:r>
      <w:hyperlink r:id="rId9" w:history="1">
        <w:r>
          <w:rPr>
            <w:rStyle w:val="Hyperlink"/>
            <w:sz w:val="20"/>
            <w:szCs w:val="20"/>
          </w:rPr>
          <w:t>https://doi.org/10.1108/IJILT-09-2017-0092</w:t>
        </w:r>
      </w:hyperlink>
    </w:p>
    <w:p w14:paraId="4D033C9E" w14:textId="168D242F" w:rsidR="000D0AEA" w:rsidRDefault="00423AFC" w:rsidP="00223227">
      <w:pPr>
        <w:spacing w:after="100" w:line="264" w:lineRule="auto"/>
      </w:pPr>
      <w:r>
        <w:rPr>
          <w:color w:val="1E293B"/>
          <w:sz w:val="20"/>
          <w:szCs w:val="20"/>
        </w:rPr>
        <w:t>Dick, W., Carey, L., &amp; Carey, J. O. (2022). The systematic design of instruction (9th ed.). Pearson.</w:t>
      </w:r>
    </w:p>
    <w:p w14:paraId="00EE0001" w14:textId="77777777" w:rsidR="000D0AEA" w:rsidRDefault="00423AFC">
      <w:pPr>
        <w:spacing w:after="100" w:line="264" w:lineRule="auto"/>
        <w:ind w:left="720" w:hanging="720"/>
      </w:pPr>
      <w:r>
        <w:rPr>
          <w:color w:val="1E293B"/>
          <w:sz w:val="20"/>
          <w:szCs w:val="20"/>
        </w:rPr>
        <w:t xml:space="preserve">Ge, X., &amp; Land, S. M. (2003). Scaffolding students’ problem-solving processes in an ill-structured task using question prompts and peer interactions. </w:t>
      </w:r>
      <w:r>
        <w:rPr>
          <w:i/>
          <w:iCs/>
          <w:color w:val="1E293B"/>
          <w:sz w:val="20"/>
          <w:szCs w:val="20"/>
        </w:rPr>
        <w:t>Educational Technology Research &amp; Development</w:t>
      </w:r>
      <w:r>
        <w:rPr>
          <w:color w:val="1E293B"/>
          <w:sz w:val="20"/>
          <w:szCs w:val="20"/>
        </w:rPr>
        <w:t xml:space="preserve">, 51(1), 21–40. https://doi.org/10.1007/BF02504515</w:t>
      </w:r>
    </w:p>
    <w:p w14:paraId="02A0E77E" w14:textId="66DE3B28" w:rsidR="004B1C6A" w:rsidRPr="004B1C6A" w:rsidRDefault="004B1C6A" w:rsidP="004B1C6A">
      <w:pPr>
        <w:spacing w:after="100" w:line="264" w:lineRule="auto"/>
        <w:ind w:left="720" w:hanging="720"/>
        <w:rPr>
          <w:color w:val="1E293B"/>
          <w:sz w:val="20"/>
          <w:szCs w:val="20"/>
        </w:rPr>
      </w:pPr>
      <w:r>
        <w:rPr>
          <w:color w:val="1E293B"/>
          <w:sz w:val="20"/>
          <w:szCs w:val="20"/>
        </w:rPr>
        <w:lastRenderedPageBreak/>
        <w:t xml:space="preserve">Harris, L. &amp; Jones, M. G. (2021). Measuring Student Learning. In McDonald, J. K. &amp; West, R. E. (Eds.), Design for Learning: Principles, Processes, and Praxis (pp. 419-431). EdTech Books. </w:t>
      </w:r>
      <w:hyperlink r:id="rId10" w:history="1">
        <w:r>
          <w:rPr>
            <w:rStyle w:val="Hyperlink"/>
            <w:sz w:val="20"/>
            <w:szCs w:val="20"/>
          </w:rPr>
          <w:t>https://edtechbooks.org/id/measuring_student_learning</w:t>
        </w:r>
      </w:hyperlink>
    </w:p>
    <w:p w14:paraId="00EE0002" w14:textId="77777777" w:rsidR="000D0AEA" w:rsidRDefault="00423AFC">
      <w:pPr>
        <w:spacing w:after="100" w:line="264" w:lineRule="auto"/>
        <w:ind w:left="720" w:hanging="720"/>
      </w:pPr>
      <w:r>
        <w:rPr>
          <w:color w:val="1E293B"/>
          <w:sz w:val="20"/>
          <w:szCs w:val="20"/>
        </w:rPr>
        <w:t xml:space="preserve">Puntambekar, S. (2022). Distributed scaffolding: Scaffolding students in classroom environments. </w:t>
      </w:r>
      <w:r>
        <w:rPr>
          <w:i/>
          <w:iCs/>
          <w:color w:val="1E293B"/>
          <w:sz w:val="20"/>
          <w:szCs w:val="20"/>
        </w:rPr>
        <w:t>Educational Psychology Review</w:t>
      </w:r>
      <w:r>
        <w:rPr>
          <w:color w:val="1E293B"/>
          <w:sz w:val="20"/>
          <w:szCs w:val="20"/>
        </w:rPr>
        <w:t xml:space="preserve">, 34, 451–472. https://doi.org/10.1007/s10648-021-09636-3</w:t>
      </w:r>
    </w:p>
    <w:p w14:paraId="779F236E" w14:textId="667C1E5F" w:rsidR="00F05FF2" w:rsidRPr="00F05FF2" w:rsidRDefault="00423AFC" w:rsidP="00F05FF2">
      <w:pPr>
        <w:spacing w:after="100" w:line="264" w:lineRule="auto"/>
        <w:ind w:left="720" w:hanging="720"/>
        <w:rPr>
          <w:color w:val="1E293B"/>
          <w:sz w:val="20"/>
          <w:szCs w:val="20"/>
        </w:rPr>
      </w:pPr>
      <w:r>
        <w:rPr>
          <w:color w:val="1E293B"/>
          <w:sz w:val="20"/>
          <w:szCs w:val="20"/>
        </w:rPr>
        <w:t xml:space="preserve">Hollender, N., Hofmann, C., Deneke, M., &amp; Schmitz, B. (2010). Integrating cognitive load theory and concepts of human–computer interaction. </w:t>
      </w:r>
      <w:r>
        <w:rPr>
          <w:i/>
          <w:iCs/>
          <w:color w:val="1E293B"/>
          <w:sz w:val="20"/>
          <w:szCs w:val="20"/>
        </w:rPr>
        <w:t>Computers in Human Behavior</w:t>
      </w:r>
      <w:r>
        <w:rPr>
          <w:color w:val="1E293B"/>
          <w:sz w:val="20"/>
          <w:szCs w:val="20"/>
        </w:rPr>
        <w:t xml:space="preserve">, </w:t>
      </w:r>
      <w:r>
        <w:rPr>
          <w:i/>
          <w:iCs/>
          <w:color w:val="1E293B"/>
          <w:sz w:val="20"/>
          <w:szCs w:val="20"/>
        </w:rPr>
        <w:t>26</w:t>
      </w:r>
      <w:r>
        <w:rPr>
          <w:color w:val="1E293B"/>
          <w:sz w:val="20"/>
          <w:szCs w:val="20"/>
        </w:rPr>
        <w:t xml:space="preserve">(6), 1278–1288. </w:t>
      </w:r>
      <w:hyperlink r:id="rId11" w:history="1">
        <w:r>
          <w:rPr>
            <w:rStyle w:val="Hyperlink"/>
            <w:sz w:val="20"/>
            <w:szCs w:val="20"/>
          </w:rPr>
          <w:t>https://doi.org/10.1016/j.chb.2010.05.031</w:t>
        </w:r>
      </w:hyperlink>
    </w:p>
    <w:p w14:paraId="4CF31812" w14:textId="64C1B76F" w:rsidR="00F05FF2" w:rsidRPr="00F05FF2" w:rsidRDefault="00423AFC" w:rsidP="00F05FF2">
      <w:pPr>
        <w:spacing w:after="100" w:line="264" w:lineRule="auto"/>
        <w:ind w:left="720" w:hanging="720"/>
        <w:rPr>
          <w:color w:val="1E293B"/>
          <w:sz w:val="20"/>
          <w:szCs w:val="20"/>
        </w:rPr>
      </w:pPr>
      <w:r>
        <w:rPr>
          <w:color w:val="1E293B"/>
          <w:sz w:val="20"/>
          <w:szCs w:val="20"/>
        </w:rPr>
        <w:t xml:space="preserve">Keller, J. M. (1987). Development and use of the ARCS model of instructional design. </w:t>
      </w:r>
      <w:r>
        <w:rPr>
          <w:i/>
          <w:iCs/>
          <w:color w:val="1E293B"/>
          <w:sz w:val="20"/>
          <w:szCs w:val="20"/>
        </w:rPr>
        <w:t>Journal of Instructional Development</w:t>
      </w:r>
      <w:r>
        <w:rPr>
          <w:color w:val="1E293B"/>
          <w:sz w:val="20"/>
          <w:szCs w:val="20"/>
        </w:rPr>
        <w:t xml:space="preserve">, </w:t>
      </w:r>
      <w:r>
        <w:rPr>
          <w:i/>
          <w:iCs/>
          <w:color w:val="1E293B"/>
          <w:sz w:val="20"/>
          <w:szCs w:val="20"/>
        </w:rPr>
        <w:t>10</w:t>
      </w:r>
      <w:r>
        <w:rPr>
          <w:color w:val="1E293B"/>
          <w:sz w:val="20"/>
          <w:szCs w:val="20"/>
        </w:rPr>
        <w:t xml:space="preserve">(3), 2–10. </w:t>
      </w:r>
      <w:hyperlink r:id="rId12" w:history="1">
        <w:r>
          <w:rPr>
            <w:rStyle w:val="Hyperlink"/>
            <w:sz w:val="20"/>
            <w:szCs w:val="20"/>
          </w:rPr>
          <w:t>https://doi.org/10.1007/BF02905780</w:t>
        </w:r>
      </w:hyperlink>
    </w:p>
    <w:p w14:paraId="4EA3689E" w14:textId="03519753" w:rsidR="00F05FF2" w:rsidRPr="00F05FF2" w:rsidRDefault="00423AFC" w:rsidP="00F05FF2">
      <w:pPr>
        <w:spacing w:after="100" w:line="264" w:lineRule="auto"/>
        <w:ind w:left="720" w:hanging="720"/>
        <w:rPr>
          <w:color w:val="1E293B"/>
          <w:sz w:val="20"/>
          <w:szCs w:val="20"/>
        </w:rPr>
      </w:pPr>
      <w:r>
        <w:rPr>
          <w:color w:val="1E293B"/>
          <w:sz w:val="20"/>
          <w:szCs w:val="20"/>
        </w:rPr>
        <w:t xml:space="preserve">Merrill, M. D. (2002). First principles of instruction. </w:t>
      </w:r>
      <w:r>
        <w:rPr>
          <w:i/>
          <w:iCs/>
          <w:color w:val="1E293B"/>
          <w:sz w:val="20"/>
          <w:szCs w:val="20"/>
        </w:rPr>
        <w:t>Educational Technology Research and Development</w:t>
      </w:r>
      <w:r>
        <w:rPr>
          <w:color w:val="1E293B"/>
          <w:sz w:val="20"/>
          <w:szCs w:val="20"/>
        </w:rPr>
        <w:t xml:space="preserve">, </w:t>
      </w:r>
      <w:r>
        <w:rPr>
          <w:i/>
          <w:iCs/>
          <w:color w:val="1E293B"/>
          <w:sz w:val="20"/>
          <w:szCs w:val="20"/>
        </w:rPr>
        <w:t>50</w:t>
      </w:r>
      <w:r>
        <w:rPr>
          <w:color w:val="1E293B"/>
          <w:sz w:val="20"/>
          <w:szCs w:val="20"/>
        </w:rPr>
        <w:t xml:space="preserve">(3), 43–59. </w:t>
      </w:r>
      <w:hyperlink r:id="rId13" w:history="1">
        <w:r>
          <w:rPr>
            <w:rStyle w:val="Hyperlink"/>
            <w:sz w:val="20"/>
            <w:szCs w:val="20"/>
          </w:rPr>
          <w:t>https://doi.org/10.1007/BF02505024</w:t>
        </w:r>
      </w:hyperlink>
    </w:p>
    <w:p w14:paraId="4A44C4AC" w14:textId="6CF134E1" w:rsidR="004B1C6A" w:rsidRDefault="004B1C6A">
      <w:pPr>
        <w:spacing w:after="100" w:line="264" w:lineRule="auto"/>
        <w:ind w:left="720" w:hanging="720"/>
        <w:rPr>
          <w:color w:val="1E293B"/>
          <w:sz w:val="20"/>
          <w:szCs w:val="20"/>
        </w:rPr>
      </w:pPr>
      <w:r>
        <w:rPr>
          <w:color w:val="1E293B"/>
          <w:sz w:val="20"/>
          <w:szCs w:val="20"/>
        </w:rPr>
        <w:t xml:space="preserve">Park, S. (2018). Motivation Theories and Instructional Design. In West, R. E. (Ed.), Foundations of Learning and Instructional Design Technology (1st Edition): Historical Roots and Current Trends (pp. 193-207). EdTech Books. </w:t>
      </w:r>
      <w:hyperlink r:id="rId14" w:history="1">
        <w:r>
          <w:rPr>
            <w:rStyle w:val="Hyperlink"/>
            <w:sz w:val="20"/>
            <w:szCs w:val="20"/>
          </w:rPr>
          <w:t>https://edtechbooks.org/lidtfoundations/motivation_theories_and_instructional_design</w:t>
        </w:r>
      </w:hyperlink>
    </w:p>
    <w:p w14:paraId="03DEEE9F" w14:textId="70952B0F" w:rsidR="000D0AEA" w:rsidRPr="004B1C6A" w:rsidRDefault="004B1C6A" w:rsidP="004B1C6A">
      <w:pPr>
        <w:spacing w:after="100" w:line="264" w:lineRule="auto"/>
        <w:ind w:left="720" w:hanging="720"/>
        <w:rPr>
          <w:color w:val="1E293B"/>
          <w:sz w:val="20"/>
          <w:szCs w:val="20"/>
        </w:rPr>
      </w:pPr>
      <w:r>
        <w:rPr>
          <w:color w:val="1E293B"/>
          <w:sz w:val="20"/>
          <w:szCs w:val="20"/>
        </w:rPr>
        <w:t xml:space="preserve">Schmidt, M., Tawfik, A. A., Jahnke, I., &amp; Earnshaw, Y. (2020). </w:t>
      </w:r>
      <w:r>
        <w:rPr>
          <w:i/>
          <w:iCs/>
          <w:color w:val="1E293B"/>
          <w:sz w:val="20"/>
          <w:szCs w:val="20"/>
        </w:rPr>
        <w:t>Learner and User Experience Research: An Introduction for the Field of Learning Design &amp; Technology</w:t>
      </w:r>
      <w:r>
        <w:rPr>
          <w:color w:val="1E293B"/>
          <w:sz w:val="20"/>
          <w:szCs w:val="20"/>
        </w:rPr>
        <w:t xml:space="preserve">. EdTech Books. </w:t>
      </w:r>
      <w:hyperlink r:id="rId15" w:history="1">
        <w:r>
          <w:rPr>
            <w:rStyle w:val="Hyperlink"/>
            <w:sz w:val="20"/>
            <w:szCs w:val="20"/>
          </w:rPr>
          <w:t>https://doi.org/10.59668/36</w:t>
        </w:r>
      </w:hyperlink>
    </w:p>
    <w:p w14:paraId="1A74F440" w14:textId="1D5016EA" w:rsidR="000D0AEA" w:rsidRDefault="00423AFC">
      <w:pPr>
        <w:spacing w:after="100" w:line="264" w:lineRule="auto"/>
        <w:ind w:left="720" w:hanging="720"/>
      </w:pPr>
      <w:r>
        <w:rPr>
          <w:color w:val="1E293B"/>
          <w:sz w:val="20"/>
          <w:szCs w:val="20"/>
        </w:rPr>
        <w:t>Smith, P. L., &amp; Ragan, T. J. (2005). Instructional design (3rd ed.). John Wiley &amp; Sons.</w:t>
      </w:r>
    </w:p>
    <w:p w14:paraId="36BE0C2A" w14:textId="138D0A38" w:rsidR="00F05FF2" w:rsidRPr="00F05FF2" w:rsidRDefault="00423AFC" w:rsidP="00F05FF2">
      <w:pPr>
        <w:spacing w:after="100" w:line="264" w:lineRule="auto"/>
        <w:ind w:left="720" w:hanging="720"/>
        <w:rPr>
          <w:color w:val="1E293B"/>
          <w:sz w:val="20"/>
          <w:szCs w:val="20"/>
        </w:rPr>
      </w:pPr>
      <w:r>
        <w:rPr>
          <w:color w:val="1E293B"/>
          <w:sz w:val="20"/>
          <w:szCs w:val="20"/>
        </w:rPr>
        <w:t xml:space="preserve">Sweller, J. (2019). Cognitive load theory and educational technology. </w:t>
      </w:r>
      <w:r>
        <w:rPr>
          <w:i/>
          <w:iCs/>
          <w:color w:val="1E293B"/>
          <w:sz w:val="20"/>
          <w:szCs w:val="20"/>
        </w:rPr>
        <w:t>Educational Technology Research and Development</w:t>
      </w:r>
      <w:r>
        <w:rPr>
          <w:color w:val="1E293B"/>
          <w:sz w:val="20"/>
          <w:szCs w:val="20"/>
        </w:rPr>
        <w:t xml:space="preserve">, </w:t>
      </w:r>
      <w:r>
        <w:rPr>
          <w:i/>
          <w:iCs/>
          <w:color w:val="1E293B"/>
          <w:sz w:val="20"/>
          <w:szCs w:val="20"/>
        </w:rPr>
        <w:t>68</w:t>
      </w:r>
      <w:r>
        <w:rPr>
          <w:color w:val="1E293B"/>
          <w:sz w:val="20"/>
          <w:szCs w:val="20"/>
        </w:rPr>
        <w:t xml:space="preserve">(1), 1–16. </w:t>
      </w:r>
      <w:hyperlink r:id="rId16" w:history="1">
        <w:r>
          <w:rPr>
            <w:rStyle w:val="Hyperlink"/>
            <w:sz w:val="20"/>
            <w:szCs w:val="20"/>
          </w:rPr>
          <w:t>https://doi.org/10.1007/s11423-019-09701-3</w:t>
        </w:r>
      </w:hyperlink>
    </w:p>
    <w:p w14:paraId="207FBEF7" w14:textId="043A7507" w:rsidR="004B1C6A" w:rsidRPr="004B1C6A" w:rsidRDefault="004B1C6A" w:rsidP="004B1C6A">
      <w:pPr>
        <w:spacing w:after="100" w:line="264" w:lineRule="auto"/>
        <w:ind w:left="720" w:hanging="720"/>
        <w:rPr>
          <w:color w:val="1E293B"/>
          <w:sz w:val="20"/>
          <w:szCs w:val="20"/>
        </w:rPr>
      </w:pPr>
      <w:r>
        <w:rPr>
          <w:color w:val="1E293B"/>
          <w:sz w:val="20"/>
          <w:szCs w:val="20"/>
        </w:rPr>
        <w:t xml:space="preserve">Tawfik, A. A. &amp; Gatewood, J. (2022). Decision Making and Problem-Solving: Implications for Learning Design. </w:t>
      </w:r>
      <w:r>
        <w:rPr>
          <w:i/>
          <w:iCs/>
          <w:color w:val="1E293B"/>
          <w:sz w:val="20"/>
          <w:szCs w:val="20"/>
        </w:rPr>
        <w:t>The Journal of Applied Instructional Design, 11</w:t>
      </w:r>
      <w:r>
        <w:rPr>
          <w:color w:val="1E293B"/>
          <w:sz w:val="20"/>
          <w:szCs w:val="20"/>
        </w:rPr>
        <w:t xml:space="preserve">(2), 7-23. </w:t>
      </w:r>
      <w:hyperlink r:id="rId17" w:history="1">
        <w:r>
          <w:rPr>
            <w:rStyle w:val="Hyperlink"/>
            <w:sz w:val="20"/>
            <w:szCs w:val="20"/>
          </w:rPr>
          <w:t>https://doi.org/10.59668/377.8032</w:t>
        </w:r>
      </w:hyperlink>
    </w:p>
    <w:p w14:paraId="00EE0003" w14:textId="77777777" w:rsidR="000D0AEA" w:rsidRDefault="00423AFC">
      <w:pPr>
        <w:spacing w:after="100" w:line="264" w:lineRule="auto"/>
        <w:ind w:left="720" w:hanging="720"/>
      </w:pPr>
      <w:r>
        <w:rPr>
          <w:color w:val="1E293B"/>
          <w:sz w:val="20"/>
          <w:szCs w:val="20"/>
        </w:rPr>
        <w:t xml:space="preserve">Tawfik, A. A., Graesser, A., Gatewood, J., &amp; Gishbaugher, J. (2020). The effect of sustained vs. faded scaffolding on students’ argumentation in ill-structured problem solving. </w:t>
      </w:r>
      <w:r>
        <w:rPr>
          <w:i/>
          <w:iCs/>
          <w:color w:val="1E293B"/>
          <w:sz w:val="20"/>
          <w:szCs w:val="20"/>
        </w:rPr>
        <w:t>Educational Technology Research &amp; Development</w:t>
      </w:r>
      <w:r>
        <w:rPr>
          <w:color w:val="1E293B"/>
          <w:sz w:val="20"/>
          <w:szCs w:val="20"/>
        </w:rPr>
        <w:t xml:space="preserve">, 68(6), 3143–3165. https://doi.org/10.1007/s11423-020-09851-x</w:t>
      </w:r>
    </w:p>
    <w:p w14:paraId="00EE0004" w14:textId="77777777" w:rsidR="000D0AEA" w:rsidRDefault="00423AFC">
      <w:pPr>
        <w:spacing w:after="100" w:line="264" w:lineRule="auto"/>
        <w:ind w:left="720" w:hanging="720"/>
      </w:pPr>
      <w:r>
        <w:rPr>
          <w:color w:val="1E293B"/>
          <w:sz w:val="20"/>
          <w:szCs w:val="20"/>
        </w:rPr>
        <w:t xml:space="preserve">Vann, R., &amp; Tawfik, A. A. (2020). Flow theory and learning experience design in gamified online courses. In M. Schmidt, A. A. Tawfik, I. Jahnke, &amp; Y. Earnshaw (Eds.), </w:t>
      </w:r>
      <w:r>
        <w:rPr>
          <w:i/>
          <w:iCs/>
          <w:color w:val="1E293B"/>
          <w:sz w:val="20"/>
          <w:szCs w:val="20"/>
        </w:rPr>
        <w:t>Learner and User Experience Research: An Introduction for the Field of Learning Design &amp; Technology</w:t>
      </w:r>
      <w:r>
        <w:rPr>
          <w:color w:val="1E293B"/>
          <w:sz w:val="20"/>
          <w:szCs w:val="20"/>
        </w:rPr>
        <w:t xml:space="preserve">. EdTech Books. https://doi.org/10.59668/36</w:t>
      </w:r>
    </w:p>
    <w:p w14:paraId="49CF3D76" w14:textId="2B2EF346" w:rsidR="000D0AEA" w:rsidRDefault="00423AFC">
      <w:pPr>
        <w:spacing w:after="100" w:line="264" w:lineRule="auto"/>
        <w:ind w:left="720" w:hanging="720"/>
        <w:rPr>
          <w:color w:val="1E293B"/>
          <w:sz w:val="20"/>
          <w:szCs w:val="20"/>
        </w:rPr>
      </w:pPr>
      <w:r>
        <w:rPr>
          <w:color w:val="1E293B"/>
          <w:sz w:val="20"/>
          <w:szCs w:val="20"/>
        </w:rPr>
        <w:t xml:space="preserve">van Merriënboer, J. J. G., Sluijsmans, D., &amp; Jochems, W. (2009). Toward a synthesis of cognitive load theory, four-component instructional design, and self-directed learning. </w:t>
      </w:r>
      <w:r>
        <w:rPr>
          <w:i/>
          <w:iCs/>
          <w:color w:val="1E293B"/>
          <w:sz w:val="20"/>
          <w:szCs w:val="20"/>
        </w:rPr>
        <w:t>Educational Psychology Review</w:t>
      </w:r>
      <w:r>
        <w:rPr>
          <w:color w:val="1E293B"/>
          <w:sz w:val="20"/>
          <w:szCs w:val="20"/>
        </w:rPr>
        <w:t>,</w:t>
      </w:r>
      <w:r>
        <w:rPr>
          <w:i/>
          <w:iCs/>
          <w:color w:val="1E293B"/>
          <w:sz w:val="20"/>
          <w:szCs w:val="20"/>
        </w:rPr>
        <w:t xml:space="preserve"> 21</w:t>
      </w:r>
      <w:r>
        <w:rPr>
          <w:color w:val="1E293B"/>
          <w:sz w:val="20"/>
          <w:szCs w:val="20"/>
        </w:rPr>
        <w:t xml:space="preserve">(1), 55–66. </w:t>
      </w:r>
      <w:hyperlink r:id="rId18" w:history="1">
        <w:r>
          <w:rPr>
            <w:rStyle w:val="Hyperlink"/>
            <w:sz w:val="20"/>
            <w:szCs w:val="20"/>
          </w:rPr>
          <w:t>https://doi.org/10.1007/s10648-008-9092-5</w:t>
        </w:r>
      </w:hyperlink>
    </w:p>
    <w:p w14:paraId="2E75A438" w14:textId="77777777" w:rsidR="000D0AEA" w:rsidRDefault="000D0AEA">
      <w:pPr>
        <w:spacing w:before="120"/>
      </w:pPr>
    </w:p>
    <w:p w14:paraId="7229D5B4" w14:textId="48AB73CB" w:rsidR="000D0AEA" w:rsidRDefault="00423AFC">
      <w:pPr>
        <w:pBdr>
          <w:top w:val="single" w:sz="2" w:space="0" w:color="D1E4F0"/>
        </w:pBdr>
        <w:jc w:val="center"/>
      </w:pPr>
      <w:r>
        <w:rPr>
          <w:color w:val="94A3B8"/>
          <w:sz w:val="18"/>
          <w:szCs w:val="18"/>
        </w:rPr>
        <w:t>This rationale was prepared specifically for an instructional design challenge. All module materials are original work.</w:t>
      </w:r>
    </w:p>
    <w:sectPr w:rsidR="000D0AE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AA92" w14:textId="77777777" w:rsidR="00F466DB" w:rsidRDefault="00F466DB">
      <w:r>
        <w:separator/>
      </w:r>
    </w:p>
  </w:endnote>
  <w:endnote w:type="continuationSeparator" w:id="0">
    <w:p w14:paraId="7B690EBF" w14:textId="77777777" w:rsidR="00F466DB" w:rsidRDefault="00F46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F76B" w14:textId="77777777" w:rsidR="000D0AEA" w:rsidRDefault="000D0AEA">
    <w:pPr>
      <w:pBdr>
        <w:top w:val="single" w:sz="2" w:space="0" w:color="D1E4F0"/>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0D0AEA" w14:paraId="6247AC87" w14:textId="77777777">
      <w:tc>
        <w:tcPr>
          <w:tcW w:w="6000" w:type="dxa"/>
          <w:tcBorders>
            <w:top w:val="nil"/>
            <w:left w:val="nil"/>
            <w:bottom w:val="nil"/>
            <w:right w:val="nil"/>
          </w:tcBorders>
        </w:tcPr>
        <w:p w14:paraId="5E9AB516" w14:textId="484A0262" w:rsidR="000D0AEA" w:rsidRDefault="00423AFC">
          <w:r>
            <w:rPr>
              <w:color w:val="94A3B8"/>
              <w:sz w:val="17"/>
              <w:szCs w:val="17"/>
            </w:rPr>
            <w:t>STEM Education &amp; Outreach · Grades 9–10 · Biology / Life Science</w:t>
          </w:r>
        </w:p>
      </w:tc>
      <w:tc>
        <w:tcPr>
          <w:tcW w:w="3360" w:type="dxa"/>
          <w:tcBorders>
            <w:top w:val="nil"/>
            <w:left w:val="nil"/>
            <w:bottom w:val="nil"/>
            <w:right w:val="nil"/>
          </w:tcBorders>
        </w:tcPr>
        <w:p w14:paraId="7021F883" w14:textId="77777777" w:rsidR="000D0AEA" w:rsidRDefault="00423AFC">
          <w:pPr>
            <w:jc w:val="right"/>
          </w:pPr>
          <w:r>
            <w:rPr>
              <w:color w:val="94A3B8"/>
              <w:sz w:val="17"/>
              <w:szCs w:val="17"/>
            </w:rPr>
            <w:t xml:space="preserve">Page </w:t>
          </w:r>
          <w:r>
            <w:rPr>
              <w:color w:val="94A3B8"/>
              <w:sz w:val="17"/>
              <w:szCs w:val="17"/>
            </w:rPr>
            <w:fldChar w:fldCharType="begin"/>
          </w:r>
          <w:r>
            <w:rPr>
              <w:color w:val="94A3B8"/>
              <w:sz w:val="17"/>
              <w:szCs w:val="17"/>
            </w:rPr>
            <w:instrText>PAGE</w:instrText>
          </w:r>
          <w:r>
            <w:rPr>
              <w:color w:val="94A3B8"/>
              <w:sz w:val="17"/>
              <w:szCs w:val="17"/>
            </w:rPr>
            <w:fldChar w:fldCharType="separate"/>
          </w:r>
          <w:r w:rsidR="00ED03C6">
            <w:rPr>
              <w:noProof/>
              <w:color w:val="94A3B8"/>
              <w:sz w:val="17"/>
              <w:szCs w:val="17"/>
            </w:rPr>
            <w:t>1</w:t>
          </w:r>
          <w:r>
            <w:rPr>
              <w:color w:val="94A3B8"/>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FC02" w14:textId="77777777" w:rsidR="00F466DB" w:rsidRDefault="00F466DB">
      <w:r>
        <w:separator/>
      </w:r>
    </w:p>
  </w:footnote>
  <w:footnote w:type="continuationSeparator" w:id="0">
    <w:p w14:paraId="0153EFE3" w14:textId="77777777" w:rsidR="00F466DB" w:rsidRDefault="00F46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0D0AEA" w14:paraId="4ADCA48D" w14:textId="77777777">
      <w:tc>
        <w:tcPr>
          <w:tcW w:w="7000" w:type="dxa"/>
          <w:tcBorders>
            <w:top w:val="nil"/>
            <w:left w:val="nil"/>
            <w:bottom w:val="nil"/>
            <w:right w:val="nil"/>
          </w:tcBorders>
          <w:tcMar>
            <w:top w:w="0" w:type="dxa"/>
            <w:left w:w="0" w:type="dxa"/>
            <w:bottom w:w="0" w:type="dxa"/>
            <w:right w:w="0" w:type="dxa"/>
          </w:tcMar>
        </w:tcPr>
        <w:p w14:paraId="11FF5A34" w14:textId="72102AE4" w:rsidR="000D0AEA" w:rsidRDefault="00423AFC">
          <w:r>
            <w:rPr>
              <w:color w:val="94A3B8"/>
              <w:sz w:val="18"/>
              <w:szCs w:val="18"/>
            </w:rPr>
            <w:t>Instructional Design Rationale · Cell Division Gone Wrong</w:t>
          </w:r>
        </w:p>
      </w:tc>
      <w:tc>
        <w:tcPr>
          <w:tcW w:w="2360" w:type="dxa"/>
          <w:tcBorders>
            <w:top w:val="nil"/>
            <w:left w:val="nil"/>
            <w:bottom w:val="nil"/>
            <w:right w:val="nil"/>
          </w:tcBorders>
          <w:tcMar>
            <w:top w:w="0" w:type="dxa"/>
            <w:left w:w="0" w:type="dxa"/>
            <w:bottom w:w="0" w:type="dxa"/>
            <w:right w:w="0" w:type="dxa"/>
          </w:tcMar>
        </w:tcPr>
        <w:p w14:paraId="0C343B89" w14:textId="77777777" w:rsidR="000D0AEA" w:rsidRDefault="00423AFC">
          <w:pPr>
            <w:jc w:val="right"/>
          </w:pPr>
          <w:r>
            <w:rPr>
              <w:color w:val="94A3B8"/>
              <w:sz w:val="18"/>
              <w:szCs w:val="18"/>
            </w:rPr>
            <w:t>LaShaudra Cox</w:t>
          </w:r>
        </w:p>
      </w:tc>
    </w:tr>
  </w:tbl>
  <w:p w14:paraId="0DA18E64" w14:textId="77777777" w:rsidR="000D0AEA" w:rsidRDefault="000D0AEA">
    <w:pPr>
      <w:pBdr>
        <w:bottom w:val="single" w:sz="2" w:space="0" w:color="D1E4F0"/>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1355"/>
    <w:multiLevelType w:val="hybridMultilevel"/>
    <w:tmpl w:val="9502FB0A"/>
    <w:lvl w:ilvl="0" w:tplc="33826C80">
      <w:start w:val="1"/>
      <w:numFmt w:val="bullet"/>
      <w:lvlText w:val="•"/>
      <w:lvlJc w:val="left"/>
      <w:pPr>
        <w:ind w:left="720" w:hanging="360"/>
      </w:pPr>
    </w:lvl>
    <w:lvl w:ilvl="1" w:tplc="C55277B2">
      <w:numFmt w:val="decimal"/>
      <w:lvlText w:val=""/>
      <w:lvlJc w:val="left"/>
    </w:lvl>
    <w:lvl w:ilvl="2" w:tplc="43E89514">
      <w:numFmt w:val="decimal"/>
      <w:lvlText w:val=""/>
      <w:lvlJc w:val="left"/>
    </w:lvl>
    <w:lvl w:ilvl="3" w:tplc="9BDAA73A">
      <w:numFmt w:val="decimal"/>
      <w:lvlText w:val=""/>
      <w:lvlJc w:val="left"/>
    </w:lvl>
    <w:lvl w:ilvl="4" w:tplc="D0502DAA">
      <w:numFmt w:val="decimal"/>
      <w:lvlText w:val=""/>
      <w:lvlJc w:val="left"/>
    </w:lvl>
    <w:lvl w:ilvl="5" w:tplc="1DFC8BD0">
      <w:numFmt w:val="decimal"/>
      <w:lvlText w:val=""/>
      <w:lvlJc w:val="left"/>
    </w:lvl>
    <w:lvl w:ilvl="6" w:tplc="15A0EA74">
      <w:numFmt w:val="decimal"/>
      <w:lvlText w:val=""/>
      <w:lvlJc w:val="left"/>
    </w:lvl>
    <w:lvl w:ilvl="7" w:tplc="18ACF068">
      <w:numFmt w:val="decimal"/>
      <w:lvlText w:val=""/>
      <w:lvlJc w:val="left"/>
    </w:lvl>
    <w:lvl w:ilvl="8" w:tplc="6434BA40">
      <w:numFmt w:val="decimal"/>
      <w:lvlText w:val=""/>
      <w:lvlJc w:val="left"/>
    </w:lvl>
  </w:abstractNum>
  <w:abstractNum w:abstractNumId="1" w15:restartNumberingAfterBreak="0">
    <w:nsid w:val="454E7AD7"/>
    <w:multiLevelType w:val="hybridMultilevel"/>
    <w:tmpl w:val="AE0A6928"/>
    <w:lvl w:ilvl="0" w:tplc="9036EAE8">
      <w:start w:val="1"/>
      <w:numFmt w:val="bullet"/>
      <w:lvlText w:val="●"/>
      <w:lvlJc w:val="left"/>
      <w:pPr>
        <w:ind w:left="720" w:hanging="360"/>
      </w:pPr>
    </w:lvl>
    <w:lvl w:ilvl="1" w:tplc="6B7A9942">
      <w:start w:val="1"/>
      <w:numFmt w:val="bullet"/>
      <w:lvlText w:val="○"/>
      <w:lvlJc w:val="left"/>
      <w:pPr>
        <w:ind w:left="1440" w:hanging="360"/>
      </w:pPr>
    </w:lvl>
    <w:lvl w:ilvl="2" w:tplc="E7B80F46">
      <w:start w:val="1"/>
      <w:numFmt w:val="bullet"/>
      <w:lvlText w:val="■"/>
      <w:lvlJc w:val="left"/>
      <w:pPr>
        <w:ind w:left="2160" w:hanging="360"/>
      </w:pPr>
    </w:lvl>
    <w:lvl w:ilvl="3" w:tplc="70BC639C">
      <w:start w:val="1"/>
      <w:numFmt w:val="bullet"/>
      <w:lvlText w:val="●"/>
      <w:lvlJc w:val="left"/>
      <w:pPr>
        <w:ind w:left="2880" w:hanging="360"/>
      </w:pPr>
    </w:lvl>
    <w:lvl w:ilvl="4" w:tplc="C9CA0052">
      <w:start w:val="1"/>
      <w:numFmt w:val="bullet"/>
      <w:lvlText w:val="○"/>
      <w:lvlJc w:val="left"/>
      <w:pPr>
        <w:ind w:left="3600" w:hanging="360"/>
      </w:pPr>
    </w:lvl>
    <w:lvl w:ilvl="5" w:tplc="C43E26D8">
      <w:start w:val="1"/>
      <w:numFmt w:val="bullet"/>
      <w:lvlText w:val="■"/>
      <w:lvlJc w:val="left"/>
      <w:pPr>
        <w:ind w:left="4320" w:hanging="360"/>
      </w:pPr>
    </w:lvl>
    <w:lvl w:ilvl="6" w:tplc="7A626DEC">
      <w:start w:val="1"/>
      <w:numFmt w:val="bullet"/>
      <w:lvlText w:val="●"/>
      <w:lvlJc w:val="left"/>
      <w:pPr>
        <w:ind w:left="5040" w:hanging="360"/>
      </w:pPr>
    </w:lvl>
    <w:lvl w:ilvl="7" w:tplc="91481294">
      <w:start w:val="1"/>
      <w:numFmt w:val="bullet"/>
      <w:lvlText w:val="●"/>
      <w:lvlJc w:val="left"/>
      <w:pPr>
        <w:ind w:left="5760" w:hanging="360"/>
      </w:pPr>
    </w:lvl>
    <w:lvl w:ilvl="8" w:tplc="24789842">
      <w:start w:val="1"/>
      <w:numFmt w:val="bullet"/>
      <w:lvlText w:val="●"/>
      <w:lvlJc w:val="left"/>
      <w:pPr>
        <w:ind w:left="6480" w:hanging="360"/>
      </w:pPr>
    </w:lvl>
  </w:abstractNum>
  <w:num w:numId="1" w16cid:durableId="840781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AEA"/>
    <w:rsid w:val="000D0AEA"/>
    <w:rsid w:val="00223227"/>
    <w:rsid w:val="00423AFC"/>
    <w:rsid w:val="00483AEE"/>
    <w:rsid w:val="004B1C6A"/>
    <w:rsid w:val="00625CDD"/>
    <w:rsid w:val="007D664E"/>
    <w:rsid w:val="00ED03C6"/>
    <w:rsid w:val="00F05FF2"/>
    <w:rsid w:val="00F4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EC21E"/>
  <w15:docId w15:val="{5369D0FE-7BCC-ED42-820E-975E5BCD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A5C"/>
      <w:sz w:val="28"/>
      <w:szCs w:val="28"/>
    </w:rPr>
  </w:style>
  <w:style w:type="paragraph" w:styleId="Heading2">
    <w:name w:val="heading 2"/>
    <w:uiPriority w:val="9"/>
    <w:semiHidden/>
    <w:unhideWhenUsed/>
    <w:qFormat/>
    <w:pPr>
      <w:spacing w:before="200" w:after="80"/>
      <w:outlineLvl w:val="1"/>
    </w:pPr>
    <w:rPr>
      <w:b/>
      <w:bCs/>
      <w:color w:val="0E7C8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03C6"/>
    <w:pPr>
      <w:tabs>
        <w:tab w:val="center" w:pos="4680"/>
        <w:tab w:val="right" w:pos="9360"/>
      </w:tabs>
    </w:pPr>
  </w:style>
  <w:style w:type="character" w:customStyle="1" w:styleId="HeaderChar">
    <w:name w:val="Header Char"/>
    <w:basedOn w:val="DefaultParagraphFont"/>
    <w:link w:val="Header"/>
    <w:uiPriority w:val="99"/>
    <w:rsid w:val="00ED03C6"/>
  </w:style>
  <w:style w:type="paragraph" w:styleId="Footer">
    <w:name w:val="footer"/>
    <w:basedOn w:val="Normal"/>
    <w:link w:val="FooterChar"/>
    <w:uiPriority w:val="99"/>
    <w:unhideWhenUsed/>
    <w:rsid w:val="00ED03C6"/>
    <w:pPr>
      <w:tabs>
        <w:tab w:val="center" w:pos="4680"/>
        <w:tab w:val="right" w:pos="9360"/>
      </w:tabs>
    </w:pPr>
  </w:style>
  <w:style w:type="character" w:customStyle="1" w:styleId="FooterChar">
    <w:name w:val="Footer Char"/>
    <w:basedOn w:val="DefaultParagraphFont"/>
    <w:link w:val="Footer"/>
    <w:uiPriority w:val="99"/>
    <w:rsid w:val="00ED03C6"/>
  </w:style>
  <w:style w:type="character" w:styleId="UnresolvedMention">
    <w:name w:val="Unresolved Mention"/>
    <w:basedOn w:val="DefaultParagraphFont"/>
    <w:uiPriority w:val="99"/>
    <w:semiHidden/>
    <w:unhideWhenUsed/>
    <w:rsid w:val="004B1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1080/00461520.2013.838920" TargetMode="External"/><Relationship Id="rId13" Type="http://schemas.openxmlformats.org/officeDocument/2006/relationships/hyperlink" Target="https://doi.org/10.1007/BF02505024" TargetMode="External"/><Relationship Id="rId18" Type="http://schemas.openxmlformats.org/officeDocument/2006/relationships/hyperlink" Target="https://doi.org/10.1007/s10648-008-9092-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duq.info/xmlui/handle/11515/18824" TargetMode="External"/><Relationship Id="rId12" Type="http://schemas.openxmlformats.org/officeDocument/2006/relationships/hyperlink" Target="https://doi.org/10.1007/BF02905780" TargetMode="External"/><Relationship Id="rId17" Type="http://schemas.openxmlformats.org/officeDocument/2006/relationships/hyperlink" Target="https://doi.org/10.59668/377.8032" TargetMode="External"/><Relationship Id="rId2" Type="http://schemas.openxmlformats.org/officeDocument/2006/relationships/styles" Target="styles.xml"/><Relationship Id="rId16" Type="http://schemas.openxmlformats.org/officeDocument/2006/relationships/hyperlink" Target="https://doi.org/10.1007/s11423-019-09701-3"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hb.2010.05.031" TargetMode="External"/><Relationship Id="rId5" Type="http://schemas.openxmlformats.org/officeDocument/2006/relationships/footnotes" Target="footnotes.xml"/><Relationship Id="rId15" Type="http://schemas.openxmlformats.org/officeDocument/2006/relationships/hyperlink" Target="https://doi.org/10.59668/36" TargetMode="External"/><Relationship Id="rId10" Type="http://schemas.openxmlformats.org/officeDocument/2006/relationships/hyperlink" Target="https://edtechbooks.org/id/measuring_student_learnin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08/IJILT-09-2017-0092" TargetMode="External"/><Relationship Id="rId14" Type="http://schemas.openxmlformats.org/officeDocument/2006/relationships/hyperlink" Target="https://edtechbooks.org/lidtfoundations/motivation_theories_and_instructional_desig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2015</Words>
  <Characters>12622</Characters>
  <Application>Microsoft Office Word</Application>
  <DocSecurity>0</DocSecurity>
  <Lines>348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LASHAUDRA  COX</cp:lastModifiedBy>
  <cp:revision>2</cp:revision>
  <dcterms:created xsi:type="dcterms:W3CDTF">2026-04-19T05:30:00Z</dcterms:created>
  <dcterms:modified xsi:type="dcterms:W3CDTF">2026-04-19T05:30:00Z</dcterms:modified>
</cp:coreProperties>
</file>