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rPr>
          <w:rFonts w:ascii="Times New Roman" w:hAnsi="Times New Roman" w:eastAsia="Songti SC" w:cs="Times New Roman"/>
          <w:b/>
          <w:sz w:val="30"/>
        </w:rPr>
        <w:t>非线性热质传递与收缩耦合下的药材烘干时间预测</w:t>
      </w:r>
    </w:p>
    <w:p>
      <w:pPr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/>
          <w:sz w:val="26"/>
        </w:rPr>
        <w:t>摘 要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药材表面先干而内部仍湿，使平均含水率和表面状态均难以直接确定烘干终点。针对圆柱形药材，本文建立径向热质传递模型，将题给温度、含水率相关物性与对流边界耦合，采用含中心及表面控制体的有限体积离散和隐式积分求解，并用材料参考坐标处理半径收缩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对于问题一，采用预热阶段参数计算前1800 s，中心和表面温度分别为33.5753 ℃、36.7855 ℃，对应干基含水率为2.5500、1.5102 kg/kg，热响应显著早于中心脱水。对于问题二，从初始时刻统一采用附录3经验式，3 h时中心和表面温度达到49.8495 ℃、49.9663 ℃，含水率仍为1.7662、1.0081 kg/kg，说明温度接近平衡不等于烘干完成。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对于问题三，以全域最大含水率低于0.15 kg/kg为判据，严格整秒终点为57.4883 h，即206958 s。对于问题四，利用实测半径构造单调插值，在随材料收缩的坐标中求解，严格整秒终点为51.0906 h，即183926 s，终点半径为1.2000 cm。通过固定物性与固定几何的交叉对照，区分收缩与经验物性变化；相对问题三的净时间降幅为11.1288%，不能全部解释为收缩作用。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常扩散系数圆柱解析特例的归一化误差为1.9738×10⁻⁵；最终采用1280个径向区间，相邻加密后的两种烘干时间变化分别为0.0925%、0.0114%。由于环境只测至4 h，基准计算将末1 h均值延拓；快慢边界情景得到问题三57.0532—57.9370 h、问题四50.7075—51.4856 h，属于条件性比较范围。本文同时保留有效显热、长圆柱中段近似及缺少吸附等温线的限制，数值验证不代替实际药材试验验证。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rFonts w:ascii="Times New Roman" w:hAnsi="Times New Roman" w:eastAsia="Songti SC" w:cs="Times New Roman"/>
          <w:b/>
          <w:sz w:val="22"/>
        </w:rPr>
        <w:t>关键词：</w:t>
      </w:r>
      <w:r>
        <w:rPr>
          <w:rFonts w:ascii="Times New Roman" w:hAnsi="Times New Roman" w:eastAsia="Songti SC" w:cs="Times New Roman"/>
          <w:b w:val="0"/>
          <w:sz w:val="22"/>
        </w:rPr>
        <w:t>药材烘干；干基含水率；非线性扩散；有限体积；收缩边界</w:t>
      </w:r>
    </w:p>
    <w:p>
      <w:pPr>
        <w:keepNext/>
        <w:pageBreakBefore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1 问题重述与数据分析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1.1 四个问题与输出范围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研究对象为长25 cm、初始半径2 cm的圆柱形药材，初始温度28 ℃，初始干基含水率2.55 kg/kg。题目依次要求预热阶段的温度与含水率分布、统一经验物性下的全过程分布、全域达标的烘干时间，以及考虑尺寸变化后的烘干时间。四问使用共同的初始状态，问题一和问题二采用不同物性描述，不能将它们当作一条轨迹的前后两段任意拼接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计算须同时满足时间和空间输出要求。问题一保存前1800 s每秒、每0.1 cm的温度及含水率；问题二保存全烘干过程的同样密度结果；问题三、四每60 s保存含水率，并补充各自终点。正文列出题面指定的少量时刻，电子表保存完整网格。求解网格、求解器内部步长和电子表输出间隔分别控制离散精度、时间误差和数据展示，三者不应混为一谈。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1.2 原始数据与单位处理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附件1包含0—14400 s的241组环境观测，时间间隔为60 s，温度单位为℃，环境水分浓度单位为kg/kg；没有缺失记录或重复时刻。全段温度在28.0000—50.2460 ℃之间，环境水分浓度在0.0196—0.0503 kg/kg之间。前30 min的环境驱动见图1。原始观测保留，插值仅为连续时间求解提供边界值，不将插值点当作新增实测样本。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附件2包含0—259200 s的145组半径观测，间隔1800 s，覆盖72 h。半径由2.0000 cm单调减至1.1980 cm，未出现增长记录。长度和半径统一换算为m进入方程，表格和图形按题意换回cm；计算时间采用s，报告时长换算为h。所有经验式中的绝对温度为T_K=T+273.15，温差边界仍可直接使用℃。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740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74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图1  前1800 s环境温度与水分浓度的原始观测及插值，31组观测点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1.3 超出观测时段的边界闭合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题目要求模拟约2—3天的过程，但环境数据仅覆盖4 h，因此长期边界不能由附件唯一确定。末1 h即10800—14400 s的61个点，温度均值为49.9989 ℃，样本标准差为0.1544 ℃；浓度均值为0.0500 kg/kg，样本标准差约0.0002 kg/kg。图2给出该段的实际分布。该现象支持将其作为恒温阶段的一种代表边界，但不能证明后续数十小时必然维持同样条件。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在环境观测时段内，对温度与浓度采用分段线性插值，以相邻观测点定义连续边界。半径数据则采用保持局部形状的分段三次Hermite插值（PCHIP）[1]，详见第7节。4 h之后的基准边界取末1 h算术均值，计算保留原始精度，即49.9989344262 ℃与0.0499875410 kg/kg；与末次观测的轻微跳变由分段积分处理。后文另外检验末值、末2 h均值以及末1 h极端组合，因此长期时长的非唯一性直接反映在情景比较中。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4211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42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图2  末1 h环境观测的分布与均值，每个变量61个样本；分布不是未来边界置信区间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(t)=</m:t>
          </m:r>
          <m:sSub>
            <m:e>
              <m:acc>
                <m:accPr>
                  <m:chr m:val="̅"/>
                </m:acc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a,1h</m:t>
              </m:r>
            </m:sub>
          </m:sSub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(t)=</m:t>
          </m:r>
          <m:sSub>
            <m:e>
              <m:acc>
                <m:accPr>
                  <m:chr m:val="̅"/>
                </m:acc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a,1h</m:t>
              </m:r>
            </m:sub>
          </m:sSub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t&gt;14400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s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（1）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2 模型假设与符号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2.1 几何、物性与相间传递假设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第一，初始药材内部均匀，材料在截面内各向同性，主要研究长圆柱中段的径向响应，忽略轴向梯度及端面效应。两端面积与侧面积之比为R/L=0.08，说明端面交换面积相对较小，但这不是端部影响的严格误差界。若真实端面传递或沿长度的环境差异明显，需扩展为二维轴对称模型；本文“全域”指所建径向模型的整个截面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第二，将题给密度、比热、导热率作为局部有效热学物性，采用显热方程描述升温；水分迁移采用题给有效扩散系数。题目未提供汽化潜热、束缚水焓、蒸发位置和吸附等温线，本文不凭空补入这些数据。因此热方程不代表完整焓守恒，也不能由此计算真实蒸发耗能。水分通过物性影响温度，温度通过Arrhenius项影响扩散，形成题给参数范围内的耦合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第三，采用给定对流换热系数h=25 W/(m²·K)和传质系数h_m=8×10⁻⁷ m/s。固体干基含水率与空气湿度虽然均以kg/kg表示，其分母分别是干物料质量和干空气质量，物理基准并不相同。本文将题给传质系数解释为已吸收两相换算的有效系数，直接以C_s−C_a作为有效驱动力；这是一项明确的边界闭合假设。缺少吸附平衡关系时，该闭合不能视作真实两相平衡的唯一模型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第四，问题一至三半径固定；问题四长度不变，半径使用实测插值，截面发生均匀的径向材料收缩，任意材料点的相对半径s保持不变。干物质不随水分流失而损失，初始干物质密度均匀。干基含水率是水质量与干物质质量之比，单纯体积收缩不改变该比值。经验式ρ(C)用于有效热学储能，不能再把它独立解释成满足几何质量守恒的干物质密度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2.2 主要符号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r为物理半径（m），R为瞬时表面半径（m），s=r/R为材料参考坐标；t为时间（s），T为药材温度（℃），T_K为绝对温度（K），C为干基含水率（kg/kg）。下标a表示烘房环境，下标s表示药材表面。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ρ、c_p、k、D分别为有效密度（kg/m³）、比热容（J/(kg·K)）、导热系数（W/(m·K)）和含水率扩散系数（m²/s）。U(s,t)、W(s,t)分别表示参考坐标中的温度和含水率；C̄为按干物质质量加权的平均含水率，C_max为径向全域最大含水率。N为径向区间数，V_j为参考环形控制体的积分权重；t_*为达到阈值的理想时刻，t_op为验证严格不等号的整秒终点。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3 统一热质传递模型与数值求解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3.1 固定半径下的控制方程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取厚度dr的同心圆环，径向传热面积随r成正比。由局部显热变化等于两侧导热通量差，并除以圆环体积，得到热传导方程。对干基含水率采用相同的径向扩散结构。变系数置于散度内部，使邻近区域之间只交换同一份界面通量；若将D简单提出导数，便会漏掉含水率和温度引起的扩散率梯度。固定半径时有</w:t>
      </w:r>
    </w:p>
    <w:p>
      <w:pPr>
        <w:keepLines/>
        <w:spacing w:before="80" w:after="80" w:line="300" w:lineRule="auto"/>
        <w:jc w:val="center"/>
      </w:pPr>
      <m:oMathPara>
        <m:oMath>
          <m:r>
            <w:rPr>
              <w:rFonts w:ascii="Cambria Math" w:hAnsi="Cambria Math"/>
            </w:rPr>
            <m:t>ρ</m:t>
          </m:r>
          <m:sSub>
            <m:e>
              <m:r>
                <w:rPr>
                  <w:rFonts w:ascii="Cambria Math" w:hAnsi="Cambria Math"/>
                </w:rPr>
                <m:t>(C)c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(C)</m:t>
          </m:r>
          <m:f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T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t</m:t>
              </m:r>
            </m:den>
          </m:f>
          <m:r>
            <w:rPr>
              <w:rFonts w:ascii="Cambria Math" w:hAnsi="Cambria Math"/>
            </w:rPr>
            <m:t>=</m:t>
          </m:r>
          <m:f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f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r</m:t>
              </m:r>
            </m:den>
          </m:f>
          <m:r>
            <w:rPr>
              <w:rFonts w:ascii="Cambria Math" w:hAnsi="Cambria Math"/>
            </w:rPr>
            <m:t>(rk(C)</m:t>
          </m:r>
          <m:f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T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r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（2）</w:t>
      </w:r>
    </w:p>
    <w:p>
      <w:pPr>
        <w:keepLines/>
        <w:spacing w:before="80" w:after="80" w:line="300" w:lineRule="auto"/>
        <w:jc w:val="center"/>
      </w:pPr>
      <m:oMathPara>
        <m:oMath>
          <m:f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t</m:t>
              </m:r>
            </m:den>
          </m:f>
          <m:r>
            <w:rPr>
              <w:rFonts w:ascii="Cambria Math" w:hAnsi="Cambria Math"/>
            </w:rPr>
            <m:t>=</m:t>
          </m:r>
          <m:f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f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r</m:t>
              </m:r>
            </m:den>
          </m:f>
          <m:sSub>
            <m:e>
              <m:r>
                <w:rPr>
                  <w:rFonts w:ascii="Cambria Math" w:hAnsi="Cambria Math"/>
                </w:rPr>
                <m:t>(rD(C,T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</m:t>
          </m:r>
          <m:f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r</m:t>
              </m:r>
            </m:den>
          </m:f>
          <m: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0&lt;r&lt;R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（3）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初值为全截面28 ℃和2.55 kg/kg。中心满足轴对称无通量条件，表面满足向外通量为正的Robin边界：</w:t>
      </w:r>
    </w:p>
    <w:p>
      <w:pPr>
        <w:keepLines/>
        <w:spacing w:before="80" w:after="80" w:line="300" w:lineRule="auto"/>
        <w:jc w:val="center"/>
      </w:pPr>
      <m:oMathPara>
        <m:oMath>
          <m:r>
            <w:rPr>
              <w:rFonts w:ascii="Cambria Math" w:hAnsi="Cambria Math"/>
            </w:rPr>
            <m:t>T(r,0)=28,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C(r,0)=2.55,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T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sSub>
            <m:e>
              <m:r>
                <w:rPr>
                  <w:rFonts w:ascii="Cambria Math" w:hAnsi="Cambria Math"/>
                </w:rPr>
                <m:t>(0,t)=C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(0,t)=0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（4）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-kT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(R,t)=h</m:t>
          </m:r>
          <m:sSub>
            <m:e>
              <m:r>
                <w:rPr>
                  <w:rFonts w:ascii="Cambria Math" w:hAnsi="Cambria Math"/>
                </w:rPr>
                <m:t>(T(R,t)-T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(t)</m:t>
          </m:r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（5）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-DC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sSub>
            <m:e>
              <m:r>
                <w:rPr>
                  <w:rFonts w:ascii="Cambria Math" w:hAnsi="Cambria Math"/>
                </w:rPr>
                <m:t>(R,t)=h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sSub>
            <m:e>
              <m:r>
                <w:rPr>
                  <w:rFonts w:ascii="Cambria Math" w:hAnsi="Cambria Math"/>
                </w:rPr>
                <m:t>(C(R,t)-C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(t)</m:t>
          </m:r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（6）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当环境比表面温暖时，热边界的右端为负，表示热量向内输入；当药材表面含水率高于环境时，水分通量向外。由此可以直接核对边界符号。初始均匀含水率在t=0瞬间与非零传质边界不相容，这是抛物型初边值问题的起始角点层，不应把初始表面浓度强行改成环境浓度。本文保留题给全域初值，让隐式积分解析这一快速调整过程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3.2 三种物性描述及模型间关系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问题一的ρ=820、c_p=2600、k=0.36，单位按符号表；其扩散系数为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(C)=7</m:t>
          </m:r>
          <m:r>
            <w:rPr>
              <w:rFonts w:ascii="Cambria Math" w:hAnsi="Cambria Math"/>
            </w:rPr>
            <m:t>×</m:t>
          </m:r>
          <m:sSup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-9</m:t>
              </m:r>
            </m:sup>
          </m:sSup>
          <m: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(-</m:t>
          </m:r>
          <m:f>
            <m:num>
              <m:r>
                <w:rPr>
                  <w:rFonts w:ascii="Cambria Math" w:hAnsi="Cambria Math"/>
                </w:rPr>
                <m:t>0.89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（7）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问题二、三从初始时刻统一使用附录3经验式：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=650+128C,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c</m:t>
              </m:r>
            </m:e>
            <m:sub>
              <m:r>
                <w:rPr>
                  <w:rFonts w:ascii="Cambria Math" w:hAnsi="Cambria Math"/>
                </w:rPr>
                <m:t>p,2</m:t>
              </m:r>
            </m:sub>
          </m:sSub>
          <m:r>
            <w:rPr>
              <w:rFonts w:ascii="Cambria Math" w:hAnsi="Cambria Math"/>
            </w:rPr>
            <m:t>=1450+2736</m:t>
          </m:r>
          <m:f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C+1</m:t>
              </m:r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（8）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=0.21+0.38</m:t>
          </m:r>
          <m:f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C+1</m:t>
              </m:r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D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=2.4</m:t>
          </m:r>
          <m:r>
            <w:rPr>
              <w:rFonts w:ascii="Cambria Math" w:hAnsi="Cambria Math"/>
            </w:rPr>
            <m:t>×</m:t>
          </m:r>
          <m:sSup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</m:t>
              </m:r>
            </m:sup>
          </m:sSup>
          <m: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(-</m:t>
          </m:r>
          <m:f>
            <m:num>
              <m:r>
                <w:rPr>
                  <w:rFonts w:ascii="Cambria Math" w:hAnsi="Cambria Math"/>
                </w:rPr>
                <m:t>0.45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-</m:t>
          </m:r>
          <m:f>
            <m:num>
              <m:r>
                <w:rPr>
                  <w:rFonts w:ascii="Cambria Math" w:hAnsi="Cambria Math"/>
                </w:rPr>
                <m:t>3850</m:t>
              </m:r>
            </m:num>
            <m:den>
              <m:sSub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（9）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问题四全程使用附录4经验式：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=760+90C,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c</m:t>
              </m:r>
            </m:e>
            <m:sub>
              <m:r>
                <w:rPr>
                  <w:rFonts w:ascii="Cambria Math" w:hAnsi="Cambria Math"/>
                </w:rPr>
                <m:t>p,4</m:t>
              </m:r>
            </m:sub>
          </m:sSub>
          <m:r>
            <w:rPr>
              <w:rFonts w:ascii="Cambria Math" w:hAnsi="Cambria Math"/>
            </w:rPr>
            <m:t>=1850+2150</m:t>
          </m:r>
          <m:f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C+1</m:t>
              </m:r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（10）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=0.12+0.20</m:t>
          </m:r>
          <m:f>
            <m:num>
              <m:r>
                <w:rPr>
                  <w:rFonts w:ascii="Cambria Math" w:hAnsi="Cambria Math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C+1</m:t>
              </m:r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D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=4.2</m:t>
          </m:r>
          <m:r>
            <w:rPr>
              <w:rFonts w:ascii="Cambria Math" w:hAnsi="Cambria Math"/>
            </w:rPr>
            <m:t>×</m:t>
          </m:r>
          <m:sSup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-4</m:t>
              </m:r>
            </m:sup>
          </m:sSup>
          <m: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(-</m:t>
          </m:r>
          <m:f>
            <m:num>
              <m:r>
                <w:rPr>
                  <w:rFonts w:ascii="Cambria Math" w:hAnsi="Cambria Math"/>
                </w:rPr>
                <m:t>0.30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-</m:t>
          </m:r>
          <m:f>
            <m:num>
              <m:r>
                <w:rPr>
                  <w:rFonts w:ascii="Cambria Math" w:hAnsi="Cambria Math"/>
                </w:rPr>
                <m:t>3850</m:t>
              </m:r>
            </m:num>
            <m:den>
              <m:sSub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（11）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三个扩散式中含水率都位于指数分母，问题二、四的3850/T_K必须使用绝对温度。含水率下降使局部扩散能力下降，温度上升使扩散能力上升；两种作用在启动阶段竞争，后期温度接近平衡后，低含水率形成的扩散阻力成为关键。问题二统一参数是题面明确的简化，因此其0.5 h状态与问题一的1800 s状态不相同，这种差异属于模型设定变化，并非电子表不连续。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3.3 包含中心与表面的有限体积离散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采用守恒有限体积思想[2]，将固定或变动的物理域映射至0≤s≤1。设置N个等距区间及N+1个节点，节点包含中心和当前表面。相邻节点中点为控制体界面，首末控制体各为半区间。对圆柱散度先积分，再作界面近似，可以避免在r=0处直接计算1/r，也可让相邻控制体的内部通量严格抵消。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r>
                <w:rPr>
                  <w:rFonts w:ascii="Cambria Math" w:hAnsi="Cambria Math"/>
                </w:rPr>
                <m:t>j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V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sSubSup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j+1/2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sSubSup>
                <m:e>
                  <m:r>
                    <w:rPr>
                      <w:rFonts w:ascii="Cambria Math" w:hAnsi="Cambria Math"/>
                    </w:rPr>
                    <m:t>-b</m:t>
                  </m:r>
                </m:e>
                <m:sub>
                  <m:r>
                    <w:rPr>
                      <w:rFonts w:ascii="Cambria Math" w:hAnsi="Cambria Math"/>
                    </w:rPr>
                    <m:t>j-1/2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</m:t>
          </m:r>
          <m:sSubSup>
            <m:e>
              <m:r>
                <w:rPr>
                  <w:rFonts w:ascii="Cambria Math" w:hAnsi="Cambria Math"/>
                </w:rPr>
                <m:t>∑</m:t>
              </m:r>
            </m:e>
            <m:sub>
              <m:r>
                <w:rPr>
                  <w:rFonts w:ascii="Cambria Math" w:hAnsi="Cambria Math"/>
                </w:rPr>
                <m:t>j=0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</m:sSubSup>
          <m:sSub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（12）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其中b为控制体界面，中心侧界面为0，表面侧界面为1。内部界面系数取相邻节点物性的谐均值，对低扩散率区间保留串联阻力的影响。令a代表k或D，q代表T或C，则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j+1/2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sSub>
                <m:e>
                  <m:r>
                    <w:rPr>
                      <w:rFonts w:ascii="Cambria Math" w:hAnsi="Cambria Math"/>
                    </w:rPr>
                    <m:t>2a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j+1</m:t>
                  </m:r>
                </m:sub>
              </m:sSub>
            </m:num>
            <m:den>
              <m:sSub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>+a</m:t>
                  </m:r>
                </m:e>
                <m:sub>
                  <m:r>
                    <w:rPr>
                      <w:rFonts w:ascii="Cambria Math" w:hAnsi="Cambria Math"/>
                    </w:rPr>
                    <m:t>j+1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F</m:t>
              </m:r>
            </m:e>
            <m:sub>
              <m:r>
                <w:rPr>
                  <w:rFonts w:ascii="Cambria Math" w:hAnsi="Cambria Math"/>
                </w:rPr>
                <m:t>j+1/2</m:t>
              </m:r>
            </m:sub>
          </m:sSub>
          <m:sSub>
            <m:e>
              <m:r>
                <w:rPr>
                  <w:rFonts w:ascii="Cambria Math" w:hAnsi="Cambria Math"/>
                </w:rPr>
                <m:t>=b</m:t>
              </m:r>
            </m:e>
            <m:sub>
              <m:r>
                <w:rPr>
                  <w:rFonts w:ascii="Cambria Math" w:hAnsi="Cambria Math"/>
                </w:rPr>
                <m:t>j+1/2</m:t>
              </m:r>
            </m:sub>
          </m:sSub>
          <m:sSub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j+1/2</m:t>
              </m:r>
            </m:sub>
          </m:sSub>
          <m:f>
            <m:num>
              <m:sSub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j+1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>-q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 xml:space="preserve"> s</m:t>
              </m:r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（13）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acc>
                <m:accPr>
                  <m:chr m:val="̇"/>
                </m:acc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sSubSup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j+1/2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  <m:sSubSup>
                <m:e>
                  <m:r>
                    <w:rPr>
                      <w:rFonts w:ascii="Cambria Math" w:hAnsi="Cambria Math"/>
                    </w:rPr>
                    <m:t>-F</m:t>
                  </m:r>
                </m:e>
                <m:sub>
                  <m:r>
                    <w:rPr>
                      <w:rFonts w:ascii="Cambria Math" w:hAnsi="Cambria Math"/>
                    </w:rPr>
                    <m:t>j-1/2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</m:num>
            <m:den>
              <m:s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b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p,j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</m:t>
          </m:r>
          <m:sSub>
            <m:e>
              <m:acc>
                <m:accPr>
                  <m:chr m:val="̇"/>
                </m:acc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sSubSup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j+1/2</m:t>
                  </m:r>
                </m:sub>
                <m:sup>
                  <m:r>
                    <w:rPr>
                      <w:rFonts w:ascii="Cambria Math" w:hAnsi="Cambria Math"/>
                    </w:rPr>
                    <m:t>C</m:t>
                  </m:r>
                </m:sup>
              </m:sSubSup>
              <m:sSubSup>
                <m:e>
                  <m:r>
                    <w:rPr>
                      <w:rFonts w:ascii="Cambria Math" w:hAnsi="Cambria Math"/>
                    </w:rPr>
                    <m:t>-F</m:t>
                  </m:r>
                </m:e>
                <m:sub>
                  <m:r>
                    <w:rPr>
                      <w:rFonts w:ascii="Cambria Math" w:hAnsi="Cambria Math"/>
                    </w:rPr>
                    <m:t>j-1/2</m:t>
                  </m:r>
                </m:sub>
                <m:sup>
                  <m:r>
                    <w:rPr>
                      <w:rFonts w:ascii="Cambria Math" w:hAnsi="Cambria Math"/>
                    </w:rPr>
                    <m:t>C</m:t>
                  </m:r>
                </m:sup>
              </m:sSubSup>
            </m:num>
            <m:den>
              <m:s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b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（14）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F定义为指向半径增加方向的梯度通量，因此与物理向外通量相反；内部通量抵消后，表面边界直接写入末控制体，不再额外使用虚节点：</w:t>
      </w:r>
    </w:p>
    <w:p>
      <w:pPr>
        <w:keepLines/>
        <w:spacing w:before="80" w:after="80" w:line="300" w:lineRule="auto"/>
        <w:jc w:val="center"/>
      </w:pPr>
      <m:oMathPara>
        <m:oMath>
          <m:sSubSup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-1/2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Sup>
            <m:e>
              <m:r>
                <w:rPr>
                  <w:rFonts w:ascii="Cambria Math" w:hAnsi="Cambria Math"/>
                </w:rPr>
                <m:t>=F</m:t>
              </m:r>
            </m:e>
            <m:sub>
              <m:r>
                <w:rPr>
                  <w:rFonts w:ascii="Cambria Math" w:hAnsi="Cambria Math"/>
                </w:rPr>
                <m:t>-1/2</m:t>
              </m:r>
            </m:sub>
            <m:sup>
              <m:r>
                <w:rPr>
                  <w:rFonts w:ascii="Cambria Math" w:hAnsi="Cambria Math"/>
                </w:rPr>
                <m:t>C</m:t>
              </m:r>
            </m:sup>
          </m:sSubSup>
          <m:r>
            <w:rPr>
              <w:rFonts w:ascii="Cambria Math" w:hAnsi="Cambria Math"/>
            </w:rPr>
            <m:t>=0,</m:t>
          </m:r>
          <m:r>
            <w:rPr>
              <w:rFonts w:ascii="Cambria Math" w:hAnsi="Cambria Math"/>
            </w:rPr>
            <m:t xml:space="preserve">  </m:t>
          </m:r>
          <m:sSubSup>
            <m:e>
              <m:r>
                <w:rPr>
                  <w:rFonts w:ascii="Cambria Math" w:hAnsi="Cambria Math"/>
                </w:rPr>
                <m:t xml:space="preserve"> F</m:t>
              </m:r>
            </m:e>
            <m:sub>
              <m:r>
                <w:rPr>
                  <w:rFonts w:ascii="Cambria Math" w:hAnsi="Cambria Math"/>
                </w:rPr>
                <m:t>N+1/2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>
            <m:e>
              <m:r>
                <w:rPr>
                  <w:rFonts w:ascii="Cambria Math" w:hAnsi="Cambria Math"/>
                </w:rPr>
                <m:t>=-Rh(T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e>
              <m:r>
                <w:rPr>
                  <w:rFonts w:ascii="Cambria Math" w:hAnsi="Cambria Math"/>
                </w:rPr>
                <m:t>-T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 xml:space="preserve">  </m:t>
          </m:r>
          <m:sSubSup>
            <m:e>
              <m:r>
                <w:rPr>
                  <w:rFonts w:ascii="Cambria Math" w:hAnsi="Cambria Math"/>
                </w:rPr>
                <m:t xml:space="preserve"> F</m:t>
              </m:r>
            </m:e>
            <m:sub>
              <m:r>
                <w:rPr>
                  <w:rFonts w:ascii="Cambria Math" w:hAnsi="Cambria Math"/>
                </w:rPr>
                <m:t>N+1/2</m:t>
              </m:r>
            </m:sub>
            <m:sup>
              <m:r>
                <w:rPr>
                  <w:rFonts w:ascii="Cambria Math" w:hAnsi="Cambria Math"/>
                </w:rPr>
                <m:t>C</m:t>
              </m:r>
            </m:sup>
          </m:sSubSup>
          <m:sSub>
            <m:e>
              <m:r>
                <w:rPr>
                  <w:rFonts w:ascii="Cambria Math" w:hAnsi="Cambria Math"/>
                </w:rPr>
                <m:t>=-Rh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sSub>
            <m:e>
              <m:r>
                <w:rPr>
                  <w:rFonts w:ascii="Cambria Math" w:hAnsi="Cambria Math"/>
                </w:rPr>
                <m:t>(C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e>
              <m:r>
                <w:rPr>
                  <w:rFonts w:ascii="Cambria Math" w:hAnsi="Cambria Math"/>
                </w:rPr>
                <m:t>-C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（15）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该离散中，R固定为0.02 m时即为问题一至三模型；R随时间变化时，须先完成第7节的材料坐标推导，不能仅凭缩小网格就改变浓度定义。对含水率取权重2V_j，内部通量抵消给出离散平均含水率变化，与表面通量完全一致。数值计算同时积分累计流出量L，用独立的线性恒等式检查整个时间过程：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acc>
                <m:accPr>
                  <m:chr m:val="̅"/>
                </m:acc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=2</m:t>
          </m:r>
          <m:sSubSup>
            <m:e>
              <m:r>
                <w:rPr>
                  <w:rFonts w:ascii="Cambria Math" w:hAnsi="Cambria Math"/>
                </w:rPr>
                <m:t>∑</m:t>
              </m:r>
            </m:e>
            <m:sub>
              <m:r>
                <w:rPr>
                  <w:rFonts w:ascii="Cambria Math" w:hAnsi="Cambria Math"/>
                </w:rPr>
                <m:t>j=0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</m:sSubSup>
          <m:sSub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b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</m:t>
          </m:r>
          <m:acc>
            <m:accPr>
              <m:chr m:val="̇"/>
            </m:accPr>
            <m:e>
              <m:r>
                <w:rPr>
                  <w:rFonts w:ascii="Cambria Math" w:hAnsi="Cambria Math"/>
                </w:rPr>
                <m:t>L</m:t>
              </m:r>
            </m:e>
          </m:acc>
          <m:r>
            <w:rPr>
              <w:rFonts w:ascii="Cambria Math" w:hAnsi="Cambria Math"/>
            </w:rPr>
            <m:t>=</m:t>
          </m:r>
          <m:f>
            <m:num>
              <m:sSub>
                <m:e>
                  <m:r>
                    <w:rPr>
                      <w:rFonts w:ascii="Cambria Math" w:hAnsi="Cambria Math"/>
                    </w:rPr>
                    <m:t>2h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sSub>
            <m:e>
              <m:r>
                <w:rPr>
                  <w:rFonts w:ascii="Cambria Math" w:hAnsi="Cambria Math"/>
                </w:rPr>
                <m:t>(C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e>
              <m:r>
                <w:rPr>
                  <w:rFonts w:ascii="Cambria Math" w:hAnsi="Cambria Math"/>
                </w:rPr>
                <m:t>-C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</m:t>
          </m:r>
          <m:sSub>
            <m:e>
              <m:acc>
                <m:accPr>
                  <m:chr m:val="̅"/>
                </m:acc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+L=2.55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（16）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3.4 隐式积分与解析雅可比矩阵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水分场在后期出现慢变化，而热场已经非常接近稳态；高分辨率网格又带来很短的扩散时间尺度，离散系统因此具有刚性。采用SciPy中的BDF隐式积分器[3,4]，同时积分温度、含水率及累计流出量。相对容差为10⁻⁷，温度和含水率绝对容差分别为10⁻⁷ ℃和10⁻⁹ kg/kg；前4 h最大内部步长60 s，之后300 s，输出使用积分器连续解在所需时刻求值。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为了避免近稳态时数值差分在极小扰动上放大舍入误差，对局部物性、界面谐均值和边界通量显式求导，形成稀疏解析雅可比矩阵。各节点仅通过左右界面与邻点耦合，温度与含水率之间保留全部交叉导数。以问题二为例，关键导数为</w:t>
      </w:r>
    </w:p>
    <w:p>
      <w:pPr>
        <w:keepLines/>
        <w:spacing w:before="80" w:after="80" w:line="300" w:lineRule="auto"/>
        <w:jc w:val="center"/>
      </w:pPr>
      <m:oMathPara>
        <m:oMath>
          <m:f>
            <m:num>
              <m:r>
                <w:rPr>
                  <w:rFonts w:ascii="Cambria Math" w:hAnsi="Cambria Math"/>
                </w:rPr>
                <m:t>∂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 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C</m:t>
              </m:r>
            </m:den>
          </m:f>
          <m:r>
            <w:rPr>
              <w:rFonts w:ascii="Cambria Math" w:hAnsi="Cambria Math"/>
            </w:rPr>
            <m:t>=</m:t>
          </m:r>
          <m:f>
            <m:num>
              <m:sSub>
                <m:e>
                  <m:r>
                    <w:rPr>
                      <w:rFonts w:ascii="Cambria Math" w:hAnsi="Cambria Math"/>
                    </w:rPr>
                    <m:t>0.45D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p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</m:t>
          </m:r>
          <m:f>
            <m:num>
              <m:r>
                <w:rPr>
                  <w:rFonts w:ascii="Cambria Math" w:hAnsi="Cambria Math"/>
                </w:rPr>
                <m:t>∂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 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T</m:t>
              </m:r>
            </m:den>
          </m:f>
          <m:r>
            <w:rPr>
              <w:rFonts w:ascii="Cambria Math" w:hAnsi="Cambria Math"/>
            </w:rPr>
            <m:t>=</m:t>
          </m:r>
          <m:f>
            <m:num>
              <m:sSub>
                <m:e>
                  <m:r>
                    <w:rPr>
                      <w:rFonts w:ascii="Cambria Math" w:hAnsi="Cambria Math"/>
                    </w:rPr>
                    <m:t>3850D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Sup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</m:t>
          </m:r>
          <m:f>
            <m:num>
              <m:sSub>
                <m:e>
                  <m:r>
                    <w:rPr>
                      <w:rFonts w:ascii="Cambria Math" w:hAnsi="Cambria Math"/>
                    </w:rPr>
                    <m:t>dc</m:t>
                  </m:r>
                </m:e>
                <m:sub>
                  <m:r>
                    <w:rPr>
                      <w:rFonts w:ascii="Cambria Math" w:hAnsi="Cambria Math"/>
                    </w:rPr>
                    <m:t>p,2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dC</m:t>
              </m:r>
            </m:den>
          </m:f>
          <m:r>
            <w:rPr>
              <w:rFonts w:ascii="Cambria Math" w:hAnsi="Cambria Math"/>
            </w:rPr>
            <m:t>=</m:t>
          </m:r>
          <m:f>
            <m:num>
              <m:r>
                <w:rPr>
                  <w:rFonts w:ascii="Cambria Math" w:hAnsi="Cambria Math"/>
                </w:rPr>
                <m:t>2736</m:t>
              </m:r>
            </m:num>
            <m:den>
              <m:sSup>
                <m:e>
                  <m:r>
                    <w:rPr>
                      <w:rFonts w:ascii="Cambria Math" w:hAnsi="Cambria Math"/>
                    </w:rPr>
                    <m:t>(1+C)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（17）</w:t>
      </w:r>
    </w:p>
    <w:p>
      <w:pPr>
        <w:keepLines/>
        <w:spacing w:before="80" w:after="80" w:line="300" w:lineRule="auto"/>
        <w:jc w:val="center"/>
      </w:pPr>
      <m:oMathPara>
        <m:oMath>
          <m:f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a</m:t>
              </m:r>
            </m:den>
          </m:f>
          <m:f>
            <m:num>
              <m:r>
                <w:rPr>
                  <w:rFonts w:ascii="Cambria Math" w:hAnsi="Cambria Math"/>
                </w:rPr>
                <m:t>2ab</m:t>
              </m:r>
            </m:num>
            <m:den>
              <m:r>
                <w:rPr>
                  <w:rFonts w:ascii="Cambria Math" w:hAnsi="Cambria Math"/>
                </w:rPr>
                <m:t>a+b</m:t>
              </m:r>
            </m:den>
          </m:f>
          <m:r>
            <w:rPr>
              <w:rFonts w:ascii="Cambria Math" w:hAnsi="Cambria Math"/>
            </w:rPr>
            <m:t>=</m:t>
          </m:r>
          <m:f>
            <m:num>
              <m:sSup>
                <m:e>
                  <m:r>
                    <w:rPr>
                      <w:rFonts w:ascii="Cambria Math" w:hAnsi="Cambria Math"/>
                    </w:rPr>
                    <m:t>2b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e>
                  <m:r>
                    <w:rPr>
                      <w:rFonts w:ascii="Cambria Math" w:hAnsi="Cambria Math"/>
                    </w:rPr>
                    <m:t>(a+b)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</m:t>
          </m:r>
          <m:f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b</m:t>
              </m:r>
            </m:den>
          </m:f>
          <m:f>
            <m:num>
              <m:r>
                <w:rPr>
                  <w:rFonts w:ascii="Cambria Math" w:hAnsi="Cambria Math"/>
                </w:rPr>
                <m:t>2ab</m:t>
              </m:r>
            </m:num>
            <m:den>
              <m:r>
                <w:rPr>
                  <w:rFonts w:ascii="Cambria Math" w:hAnsi="Cambria Math"/>
                </w:rPr>
                <m:t>a+b</m:t>
              </m:r>
            </m:den>
          </m:f>
          <m:r>
            <w:rPr>
              <w:rFonts w:ascii="Cambria Math" w:hAnsi="Cambria Math"/>
            </w:rPr>
            <m:t>=</m:t>
          </m:r>
          <m:f>
            <m:num>
              <m:sSup>
                <m:e>
                  <m:r>
                    <w:rPr>
                      <w:rFonts w:ascii="Cambria Math" w:hAnsi="Cambria Math"/>
                    </w:rPr>
                    <m:t>2a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e>
                  <m:r>
                    <w:rPr>
                      <w:rFonts w:ascii="Cambria Math" w:hAnsi="Cambria Math"/>
                    </w:rPr>
                    <m:t>(a+b)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（18）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热方程还包含1/(ρc_p)对含水率的导数，忽略这一项会使隐式迭代矩阵与真实方程不一致。解析矩阵经过非均匀温湿状态、近等温状态及三组物性的数值微分核对。每段积分检查求解器成功标志，不通过将浓度剪裁为非负数掩盖计算错误。最后将输出网格逐级加密，并将求解误差、长期边界假设和物性不确定性分开评价。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4 问题一：预热阶段的温度与含水率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按附录2物性独立积分至1800 s。表1、表2分别给出题面指定的七个时刻和五个半径位置，温度单位为℃，含水率单位为kg/kg，均保留四位小数。所有节点的初始状态一致，靠近表面的温度和含水率先响应环境，中心含水率在这段时间内变化很小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结果在电子文件result1.xlsx的“温度”和“水分浓度”工作表中完整保存，时间为0—1800 s的每一秒，半径为0—2 cm的每0.1 cm；额外保留t=0便于核对初值。表中2.5500为四位小数舍入值，不等于数值解在整个早期都严格保持2.55。</w:t>
      </w:r>
    </w:p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表1  30 min内药材的温度（℃）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510"/>
        <w:gridCol w:w="1510"/>
        <w:gridCol w:w="1510"/>
        <w:gridCol w:w="1510"/>
        <w:gridCol w:w="1510"/>
        <w:gridCol w:w="1510"/>
      </w:tblGrid>
      <w:tr>
        <w:trPr>
          <w:cantSplit/>
          <w:tblHeader/>
        </w:trPr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时间/s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2 cm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28.0001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28.0003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28.0040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28.0327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28.1801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28.0408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28.0635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28.1514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28.3681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28.8488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600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28.4533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28.5360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28.8039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29.3159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30.1654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900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29.3243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29.4583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29.8755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30.6161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31.7304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1200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30.5427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30.7098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31.2223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32.1125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33.4276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31.9957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32.1867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32.7660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33.7462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35.1203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1800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33.5753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33.7720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34.3641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35.3621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36.7855</w:t>
            </w:r>
          </w:p>
        </w:tc>
      </w:tr>
    </w:tbl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表2  30 min内药材的干基含水率（kg/kg）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510"/>
        <w:gridCol w:w="1510"/>
        <w:gridCol w:w="1510"/>
        <w:gridCol w:w="1510"/>
        <w:gridCol w:w="1510"/>
        <w:gridCol w:w="1510"/>
      </w:tblGrid>
      <w:tr>
        <w:trPr>
          <w:cantSplit/>
          <w:tblHeader/>
        </w:trPr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时间/s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2 cm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2.2471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2.5492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2.0508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600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2.5353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1.8770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900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2.5497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2.5045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1.7547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1200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2.5482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2.4646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1.6586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2.5499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2.5445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2.4206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1.5787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1800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2.5500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2.5497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2.5383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2.3755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1.5102</w:t>
            </w:r>
          </w:p>
        </w:tc>
      </w:tr>
    </w:tbl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从图3可以看出，温度变化逐渐传入整个截面，而含水率的明显下降主要集中在外层。初始热扩散率k/(ρc_p)约为1.6886×10⁻⁷ m²/s，初始水分扩散率约为4.9377×10⁻⁹ m²/s；用R²除以相应扩散率得到的特征时间约为0.6580 h和22.5028 h。这些量级估计仅解释两种响应的差别，不直接替代带变边界、变系数的实际终点计算。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5581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558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图3  问题一前1800 s温度和含水率的时空分布；两面板色标量纲不同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在1800 s，中心温度33.5753 ℃，表面36.7855 ℃，径向温差3.2102 ℃；中心含水率2.5500 kg/kg，表面1.5102 kg/kg，加权平均为2.2936 kg/kg。图4的终时剖面说明预热已使整根药材中段升温，但中心仍保留近乎全部初始水分。仅观察表面失水速度会高估这一阶段的整体脱水程度。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初始热Biot数hR/k约为1.3889，并不满足内部温差可忽略的强条件，因此不能以一条均匀温度曲线替代径向场。含水率的外层梯度更加突出。即使只需要中心和表面结果，保持径向分辨率仍有必要，因为内部和表面之间的扩散阻力由整个剖面决定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3754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375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图4  问题一1800 s的径向剖面：表面较热、较干，中心水分响应滞后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5 问题二：全过程的非线性热质耦合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问题二使用第3.2节附录3的全部公式，从t=0的均匀初值重新积分。其物性随含水率更新，扩散系数还依赖局部绝对温度；每次求解方程右端及雅可比矩阵时同步更新，避免只按环境温度或截面均值近似局部扩散。表3和表4给出前3 h每0.5 h的结果，并保持与题目要求一致的空间位置。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在0.5 h，问题二的中心温度32.1892 ℃，低于问题一相同时刻的33.5753 ℃，其原因是两组热学物性不同，而不是假设烘干过程在30 min发生了实际降温。问题二与问题三共享同一个全过程模型及轨迹，问题三只是在该轨迹上识别含水率达标时刻。</w:t>
      </w:r>
    </w:p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表3  3 h内药材的温度（℃）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510"/>
        <w:gridCol w:w="1510"/>
        <w:gridCol w:w="1510"/>
        <w:gridCol w:w="1510"/>
        <w:gridCol w:w="1510"/>
        <w:gridCol w:w="1510"/>
      </w:tblGrid>
      <w:tr>
        <w:trPr>
          <w:cantSplit/>
          <w:tblHeader/>
        </w:trPr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时间/h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2 cm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0.5000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32.1892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32.3821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32.9659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33.9608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35.4130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40.3815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40.5535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41.0605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41.8782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42.9976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1.5000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45.8468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45.9348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46.1930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46.6051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47.1401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48.4502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48.4880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48.5984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48.7735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49.0034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49.4669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49.4792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49.5136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49.5653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49.6608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3.0000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49.8495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49.8553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49.8746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49.9102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49.9663</w:t>
            </w:r>
          </w:p>
        </w:tc>
      </w:tr>
    </w:tbl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表4  3 h内药材的干基含水率（kg/kg）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510"/>
        <w:gridCol w:w="1510"/>
        <w:gridCol w:w="1510"/>
        <w:gridCol w:w="1510"/>
        <w:gridCol w:w="1510"/>
        <w:gridCol w:w="1510"/>
      </w:tblGrid>
      <w:tr>
        <w:trPr>
          <w:cantSplit/>
          <w:tblHeader/>
        </w:trPr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时间/h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2 cm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0.5000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2.5499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2.5489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2.5256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2.3257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1.6486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2.5257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2.4948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2.3578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2.0230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1.4711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1.5000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2.3861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2.3256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2.1344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1.8020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1.3476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2.1709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2.1084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1.9236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1.6259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1.2311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2.5000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1.9566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1.9006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1.7360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1.4720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1.1166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3.0000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1.7662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1.7165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1.5702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1.3333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1.0081</w:t>
            </w:r>
          </w:p>
        </w:tc>
      </w:tr>
    </w:tbl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启动阶段，升温增加D，而表面先失水又降低D，故扩散率同时具有时间和空间差异。图5绘制实际求解得到的log₁₀D场，色标表示扩散系数的数量级，不是含水率本身。保留指数中的绝对温度尤其关键；若误将℃代入3850/T，扩散率将偏离题给公式许多个数量级，无法通过简单调节步长修正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558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558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图5  问题二前3 h的局部扩散系数，色标为log₁₀[D/(m²/s)]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代表性剖面见图6，完整六个时刻的数值见表3和表4。3 h时中心和表面温度仅相差0.1168 ℃，但含水率仍相差0.7581 kg/kg。温度逐渐接近环境平台时，水分从中心迁移到表面仍需要经过低含水率外层，温度场的近平衡不能推导出浓度场已经均匀，更不能当作停机条件。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完整result2.xlsx一直覆盖到问题三的严格整秒终点206958 s，而不是只保存正文展示的前3 h。两个工作表各含206959个数据时刻及一行表头，每行包括时间与21个物理半径位置。后期温度非常接近所假设的恒定环境，并不代表存在额外长期实测温度；它是热方程在固定边界下的计算结果。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6495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64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图6  问题二0.5、1、2、3 h的代表性径向温度与含水率剖面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6 问题三：全域含水率达标时间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6.1 判据与严格终点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题目要求各处含水率低于0.15 kg/kg，故终点应由最湿位置控制。定义C_max为全部径向节点的最大值，积分器直接监测该值穿过阈值的事件，不只检查正文表格中的五个位置。电子表在径向节点之间采用线性插值，其值不会超过相邻节点的最大值；因此输出采样不会隐藏已求解节点上的内点峰值。离散网格对连续场的近似误差另由空间加密检验。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(t)=</m:t>
          </m:r>
          <m:sSub>
            <m:e>
              <m:r>
                <w:rPr>
                  <w:rFonts w:ascii="Cambria Math" w:hAnsi="Cambria Math"/>
                </w:rPr>
                <m:t>max</m:t>
              </m:r>
            </m:e>
            <m:sub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 xml:space="preserve"> j</m:t>
              </m:r>
              <m: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 xml:space="preserve"> N</m:t>
              </m:r>
            </m:sub>
          </m:sSub>
          <m:sSub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(t),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t</m:t>
              </m:r>
            </m:e>
            <m:sub>
              <m:r>
                <w:rPr>
                  <w:rFonts w:ascii="Cambria Math" w:hAnsi="Cambria Math"/>
                </w:rPr>
                <m:t>*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inf</m:t>
          </m:r>
          <m:r>
            <w:rPr>
              <w:rFonts w:ascii="Cambria Math" w:hAnsi="Cambria Math"/>
            </w:rPr>
            <m:t>{</m:t>
          </m:r>
          <m:sSub>
            <m:e>
              <m:r>
                <w:rPr>
                  <w:rFonts w:ascii="Cambria Math" w:hAnsi="Cambria Math"/>
                </w:rPr>
                <m:t>t:C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(t)</m:t>
          </m:r>
          <m: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0.15</m:t>
          </m:r>
          <m:r>
            <w:rPr>
              <w:rFonts w:ascii="Cambria Math" w:hAnsi="Cambria Math"/>
            </w:rPr>
            <m:t>}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（19）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理想阈值时刻满足等号；对于“低于”的严格要求，在首次过阈值之后继续积分到下一整秒，并用未舍入值核查全域最大含水率。即使理想时刻恰落在整秒，也继续顺延1 s。这样得到的整秒终点只消除数值报告中的等号歧义，不构成实际生产所需的安全裕量。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op</m:t>
              </m:r>
            </m:sub>
          </m:sSub>
          <m:sSub>
            <m:e>
              <m:r>
                <w:rPr>
                  <w:rFonts w:ascii="Cambria Math" w:hAnsi="Cambria Math"/>
                </w:rPr>
                <m:t>=⌊ t</m:t>
              </m:r>
            </m:e>
            <m:sub>
              <m:r>
                <w:rPr>
                  <w:rFonts w:ascii="Cambria Math" w:hAnsi="Cambria Math"/>
                </w:rPr>
                <m:t>*</m:t>
              </m:r>
            </m:sub>
          </m:sSub>
          <m:r>
            <w:rPr>
              <w:rFonts w:ascii="Cambria Math" w:hAnsi="Cambria Math"/>
            </w:rPr>
            <m:t>⌋+1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C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sSub>
            <m:e>
              <m:r>
                <w:rPr>
                  <w:rFonts w:ascii="Cambria Math" w:hAnsi="Cambria Math"/>
                </w:rPr>
                <m:t>(t</m:t>
              </m:r>
            </m:e>
            <m:sub>
              <m:r>
                <w:rPr>
                  <w:rFonts w:ascii="Cambria Math" w:hAnsi="Cambria Math"/>
                </w:rPr>
                <m:t>op</m:t>
              </m:r>
            </m:sub>
          </m:sSub>
          <m:r>
            <w:rPr>
              <w:rFonts w:ascii="Cambria Math" w:hAnsi="Cambria Math"/>
            </w:rPr>
            <m:t>)&lt;0.15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（20）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计算得到t_*=206957.3036 s，即57.4881 h；采用的严格整秒为206958 s，即57.4883 h。该时刻未舍入的全域最大含水率为0.149999797248 kg/kg，确实小于0.15。小时数保留四位小数时还存在时间换算舍入，实际输出终点以秒值为准。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6.2 过程分布与最湿点控制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每6 h及严格终点的径向结果见表5。0.1500只是四位小数显示，严格判定依据为上文未舍入值。result3.xlsx保存每60 s的全场，并在最后追加206958 s，末段不足60 s也予以保留。</w:t>
      </w:r>
    </w:p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表5  问题三烘干过程的干基含水率（kg/kg）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510"/>
        <w:gridCol w:w="1510"/>
        <w:gridCol w:w="1510"/>
        <w:gridCol w:w="1510"/>
        <w:gridCol w:w="1510"/>
        <w:gridCol w:w="1510"/>
      </w:tblGrid>
      <w:tr>
        <w:trPr>
          <w:cantSplit/>
          <w:tblHeader/>
        </w:trPr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时间/h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1.5 cm</w:t>
            </w:r>
          </w:p>
        </w:tc>
        <w:tc>
          <w:tcPr>
            <w:tcW w:type="dxa" w:w="151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2 cm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6.0000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1.0170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0.9881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0.9015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0.7550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0.5328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12.0000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0.4561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0.4432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0.4031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0.3297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0.1642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18.0000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0.2988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0.2916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0.2687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0.2253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0.0845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24.0000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0.2378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0.2327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0.2167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0.1856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0.0665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30.0000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0.2058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0.2019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0.1892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0.1641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0.0598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36.0000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0.1859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0.1825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0.1718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0.1504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0.0566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42.0000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0.1721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0.1691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0.1597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0.1407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0.0548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48.0000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0.1618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0.1592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0.1507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0.1335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0.0537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54.0000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0.1539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0.1515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0.1437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0.1277</w:t>
            </w:r>
          </w:p>
        </w:tc>
        <w:tc>
          <w:tcPr>
            <w:tcW w:type="dxa" w:w="151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0.0530</w:t>
            </w:r>
          </w:p>
        </w:tc>
      </w:tr>
      <w:tr>
        <w:trPr>
          <w:cantSplit/>
        </w:trPr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终点</w:t>
              <w:br/>
              <w:t>57.4883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0.1500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0.1477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0.1402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0.1249</w:t>
            </w:r>
          </w:p>
        </w:tc>
        <w:tc>
          <w:tcPr>
            <w:tcW w:type="dxa" w:w="151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0.0526</w:t>
            </w:r>
          </w:p>
        </w:tc>
      </w:tr>
    </w:tbl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从图7的中心、表面和平均轨迹可以看到，表面达到目标远早于内部；平均含水率也不能代表最湿点。12 h时表面已接近阈值，而中心仍为0.4561 kg/kg；到48 h时中心为0.1618 kg/kg，仍未满足全域要求。计算对全部径向节点作事件检测，虽然本次结果的最湿点为中心，判据实现并未预先把中心替代整个空间最大值。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后期干燥曲线明显变缓。以扩散率表达式看，外层的含水率逐渐接近环境，指数中的−0.45/C降低了局部输运能力；中心保留的水分需穿过这一外层才能流出。近稳态热场并不能消除扩散阻力，故最后一段看似很小的含水率下降仍耗费较长时间。图7标明4 h边界延拓起点，避免把之后的模型轨迹误解为测量记录。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5581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558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图7  问题三中心、表面及干物质质量加权平均含水率，虚线标示目标与环境延拓起点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终点剖面见图8，此时表面含水率为0.0526 kg/kg，加权平均为0.1243 kg/kg。平均值比阈值低约0.0257 kg/kg，但中心仅刚刚达到严格条件，说明用平均值提前停止会遗漏局部偏湿材料。图形使用径向显示采样，终点计算和全域最大值仍使用全部1281个求解节点。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4211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42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图8  问题三终点的含水率剖面、全域阈值与加权平均；图形采样不代替全节点终点判断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7 问题四：材料收缩与移动边界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7.1 半径拟合与材料坐标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已有干燥研究将收缩形变与热质传递联系起来[5]。本题给出半径随时间的观测，可以直接将其作为外部几何输入，不必在缺乏内部应力、体积应变数据时另拟合力学参数。采用PCHIP通过全部半径观测，保持单调下降及平台特征；图9中点为观测，线为插值。问题四的终点落在72 h观测范围内，基准计算未使用半径外推。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引入s=r/R(t)，设材料速度v=rṘ/R。这表示初始相对半径相同的材料层随表面按同一比例收缩，而固定物理半径处在不同时刻对应不同材料。温度、含水率沿材料的导数应包含v∂/∂r，坐标变换产生的网格项与其相消。直接在缩小的网格上再重复加入同一对流项，会把材料运动计算两次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3754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375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图9  全部145组半径观测与单调插值；基准烘干终点位于观测覆盖时段</w:t>
      </w:r>
    </w:p>
    <w:p>
      <w:pPr>
        <w:keepLines/>
        <w:spacing w:before="80" w:after="80" w:line="300" w:lineRule="auto"/>
        <w:jc w:val="center"/>
      </w:pPr>
      <m:oMathPara>
        <m:oMath>
          <m:r>
            <w:rPr>
              <w:rFonts w:ascii="Cambria Math" w:hAnsi="Cambria Math"/>
            </w:rPr>
            <m:t>s=</m:t>
          </m:r>
          <m:f>
            <m:num>
              <m:r>
                <w:rPr>
                  <w:rFonts w:ascii="Cambria Math" w:hAnsi="Cambria Math"/>
                </w:rPr>
                <m:t>r</m:t>
              </m:r>
            </m:num>
            <m:den>
              <m:r>
                <w:rPr>
                  <w:rFonts w:ascii="Cambria Math" w:hAnsi="Cambria Math"/>
                </w:rPr>
                <m:t>R(t)</m:t>
              </m:r>
            </m:den>
          </m:f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U(s,t)=T(r,t),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W(s,t)=C(r,t),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v(r,t)=</m:t>
          </m:r>
          <m:f>
            <m:num>
              <m:r>
                <w:rPr>
                  <w:rFonts w:ascii="Cambria Math" w:hAnsi="Cambria Math"/>
                </w:rPr>
                <m:t>r</m:t>
              </m:r>
              <m:acc>
                <m:accPr>
                  <m:chr m:val="̇"/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(t)</m:t>
              </m:r>
            </m:num>
            <m:den>
              <m:r>
                <w:rPr>
                  <w:rFonts w:ascii="Cambria Math" w:hAnsi="Cambria Math"/>
                </w:rPr>
                <m:t>R(t)</m:t>
              </m:r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（21）</w:t>
      </w:r>
    </w:p>
    <w:p>
      <w:pPr>
        <w:keepLines/>
        <w:spacing w:before="80" w:after="80" w:line="300" w:lineRule="auto"/>
        <w:jc w:val="center"/>
      </w:pPr>
      <m:oMathPara>
        <m:oMath>
          <m:r>
            <w:rPr>
              <w:rFonts w:ascii="Cambria Math" w:hAnsi="Cambria Math"/>
            </w:rPr>
            <m:t>(</m:t>
          </m:r>
          <m:f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t</m:t>
              </m:r>
            </m:den>
          </m:f>
          <m:sSub>
            <m:e>
              <m:r>
                <w:rPr>
                  <w:rFonts w:ascii="Cambria Math" w:hAnsi="Cambria Math"/>
                </w:rPr>
                <m:t>)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(</m:t>
          </m:r>
          <m:f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W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t</m:t>
              </m:r>
            </m:den>
          </m:f>
          <m:sSub>
            <m:e>
              <m:r>
                <w:rPr>
                  <w:rFonts w:ascii="Cambria Math" w:hAnsi="Cambria Math"/>
                </w:rPr>
                <m:t>)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-</m:t>
          </m:r>
          <m:f>
            <m:num>
              <m:r>
                <w:rPr>
                  <w:rFonts w:ascii="Cambria Math" w:hAnsi="Cambria Math"/>
                </w:rPr>
                <m:t>s</m:t>
              </m:r>
              <m:acc>
                <m:accPr>
                  <m:chr m:val="̇"/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sSub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vC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r>
                <w:rPr>
                  <w:rFonts w:ascii="Cambria Math" w:hAnsi="Cambria Math"/>
                </w:rPr>
                <m:t>s</m:t>
              </m:r>
              <m:acc>
                <m:accPr>
                  <m:chr m:val="̇"/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sSub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</m:oMath>
      </m:oMathPara>
      <w:r>
        <w:rPr>
          <w:rFonts w:ascii="Times New Roman" w:hAnsi="Times New Roman" w:cs="Times New Roman" w:eastAsia="Songti SC"/>
          <w:sz w:val="20"/>
        </w:rPr>
        <w:t xml:space="preserve">  （22）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7.2 干物质质量基准下的方程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设ρ_d为几何意义上的干物质质量密度。长度不变且材料均匀径向收缩，干物质守恒给出ρ_d(t)R²(t)=ρ_d(0)R²(0)。水质量密度为ρ_dC，分别写出水和干物质的连续方程，再相减可消去共同的体积压缩项。若相对材料的有效扩散通量取−ρ_dD∇C，且ρ_d在截面内均匀，则得到含水率的材料扩散方程。</w:t>
      </w:r>
    </w:p>
    <w:p>
      <w:pPr>
        <w:keepLines/>
        <w:spacing w:before="80" w:after="80" w:line="300" w:lineRule="auto"/>
        <w:jc w:val="center"/>
      </w:pPr>
      <m:oMathPara>
        <m:oMath>
          <m:f>
            <m:num>
              <m:r>
                <w:rPr>
                  <w:rFonts w:ascii="Cambria Math" w:hAnsi="Cambria Math"/>
                </w:rPr>
                <m:t>D</m:t>
              </m:r>
              <m:sSub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+</m:t>
          </m:r>
          <m:sSub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·</m:t>
          </m:r>
          <m:r>
            <w:rPr>
              <w:rFonts w:ascii="Cambria Math" w:hAnsi="Cambria Math"/>
            </w:rPr>
            <m:t xml:space="preserve"> v=0,</m:t>
          </m:r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 xml:space="preserve"> </m:t>
          </m:r>
          <m:sSub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f>
            <m:num>
              <m:r>
                <w:rPr>
                  <w:rFonts w:ascii="Cambria Math" w:hAnsi="Cambria Math"/>
                </w:rPr>
                <m:t>DC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>·</m:t>
          </m:r>
          <m:r>
            <w:rPr>
              <w:rFonts w:ascii="Cambria Math" w:hAnsi="Cambria Math"/>
            </w:rPr>
            <m:t>(</m:t>
          </m:r>
          <m:sSub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</w:rPr>
            <m:t xml:space="preserve"> C)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（23）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因此C作为干基质量比不应再带−2ṘC/R的压缩源项；无扩散、无外部水分通量时，材料收缩后C仍应保持常数，这是可直接验证的极限情形。上述ρ_d用于明确含水率的质量基准，与题给有效热学ρ(C)承担不同角色。将二者混用会同时指定互相冲突的干物质质量与体积关系。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sSub>
            <m:e>
              <m:r>
                <w:rPr>
                  <w:rFonts w:ascii="Cambria Math" w:hAnsi="Cambria Math"/>
                </w:rPr>
                <m:t>(W)c</m:t>
              </m:r>
            </m:e>
            <m:sub>
              <m:r>
                <w:rPr>
                  <w:rFonts w:ascii="Cambria Math" w:hAnsi="Cambria Math"/>
                </w:rPr>
                <m:t>p,4</m:t>
              </m:r>
            </m:sub>
          </m:sSub>
          <m:sSub>
            <m:e>
              <m:r>
                <w:rPr>
                  <w:rFonts w:ascii="Cambria Math" w:hAnsi="Cambria Math"/>
                </w:rPr>
                <m:t>(W)U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s</m:t>
              </m:r>
            </m:den>
          </m:f>
          <m:f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s</m:t>
              </m:r>
            </m:den>
          </m:f>
          <m:sSub>
            <m:e>
              <m:r>
                <w:rPr>
                  <w:rFonts w:ascii="Cambria Math" w:hAnsi="Cambria Math"/>
                </w:rPr>
                <m:t>(sk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sSub>
            <m:e>
              <m:r>
                <w:rPr>
                  <w:rFonts w:ascii="Cambria Math" w:hAnsi="Cambria Math"/>
                </w:rPr>
                <m:t>(W)U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（24）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s</m:t>
              </m:r>
            </m:den>
          </m:f>
          <m:f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</w:rPr>
                <m:t xml:space="preserve"> s</m:t>
              </m:r>
            </m:den>
          </m:f>
          <m:sSub>
            <m:e>
              <m:r>
                <w:rPr>
                  <w:rFonts w:ascii="Cambria Math" w:hAnsi="Cambria Math"/>
                </w:rPr>
                <m:t>(sD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sSub>
            <m:e>
              <m:r>
                <w:rPr>
                  <w:rFonts w:ascii="Cambria Math" w:hAnsi="Cambria Math"/>
                </w:rPr>
                <m:t>(W,U+273.15)W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（25）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e>
              <m:r>
                <w:rPr>
                  <w:rFonts w:ascii="Cambria Math" w:hAnsi="Cambria Math"/>
                </w:rPr>
                <m:t>(0,t)=W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(0,t)=0,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-k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sSub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e>
              <m:r>
                <w:rPr>
                  <w:rFonts w:ascii="Cambria Math" w:hAnsi="Cambria Math"/>
                </w:rPr>
                <m:t>(1,t)=Rh(U(1,t)-T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（26）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-D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sSub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e>
              <m:r>
                <w:rPr>
                  <w:rFonts w:ascii="Cambria Math" w:hAnsi="Cambria Math"/>
                </w:rPr>
                <m:t>(1,t)=Rh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sSub>
            <m:e>
              <m:r>
                <w:rPr>
                  <w:rFonts w:ascii="Cambria Math" w:hAnsi="Cambria Math"/>
                </w:rPr>
                <m:t>(W(1,t)-C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（27）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将干质量密度和环形面积代入截面平均，公共因子ρ_d(t)R²(t)在分子分母中抵消，故参考坐标中的加权平均与通量平衡为</w:t>
      </w:r>
    </w:p>
    <w:p>
      <w:pPr>
        <w:keepLines/>
        <w:spacing w:before="80" w:after="80" w:line="300" w:lineRule="auto"/>
        <w:jc w:val="center"/>
      </w:pPr>
      <m:oMathPara>
        <m:oMath>
          <m:acc>
            <m:accPr>
              <m:chr m:val="̅"/>
            </m:accPr>
            <m:e>
              <m:r>
                <w:rPr>
                  <w:rFonts w:ascii="Cambria Math" w:hAnsi="Cambria Math"/>
                </w:rPr>
                <m:t>C</m:t>
              </m:r>
            </m:e>
          </m:acc>
          <m:r>
            <w:rPr>
              <w:rFonts w:ascii="Cambria Math" w:hAnsi="Cambria Math"/>
            </w:rPr>
            <m:t>(t)=</m:t>
          </m:r>
          <m:f>
            <m:num>
              <m:sSubSup>
                <m:e>
                  <m:r>
                    <w:rPr>
                      <w:rFonts w:ascii="Cambria Math" w:hAnsi="Cambria Math"/>
                    </w:rPr>
                    <m:t>∫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bSup>
              <m:sSub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s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sW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ds</m:t>
              </m:r>
            </m:num>
            <m:den>
              <m:sSubSup>
                <m:e>
                  <m:r>
                    <w:rPr>
                      <w:rFonts w:ascii="Cambria Math" w:hAnsi="Cambria Math"/>
                    </w:rPr>
                    <m:t>∫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bSup>
              <m:sSub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s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s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ds</m:t>
              </m:r>
            </m:den>
          </m:f>
          <m:r>
            <w:rPr>
              <w:rFonts w:ascii="Cambria Math" w:hAnsi="Cambria Math"/>
            </w:rPr>
            <m:t>=2</m:t>
          </m:r>
          <m:sSubSup>
            <m:e>
              <m:r>
                <w:rPr>
                  <w:rFonts w:ascii="Cambria Math" w:hAnsi="Cambria Math"/>
                </w:rPr>
                <m:t>∫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</m:sSubSup>
          <m:r>
            <w:rPr>
              <w:rFonts w:ascii="Cambria Math" w:hAnsi="Cambria Math"/>
            </w:rPr>
            <m:t>sW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ds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（28）</w:t>
      </w:r>
    </w:p>
    <w:p>
      <w:pPr>
        <w:keepLines/>
        <w:spacing w:before="80" w:after="80" w:line="300" w:lineRule="auto"/>
        <w:jc w:val="center"/>
      </w:pPr>
      <m:oMathPara>
        <m:oMath>
          <m:f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</m:acc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</m:acc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hAnsi="Cambria Math"/>
            </w:rPr>
            <m:t>=-</m:t>
          </m:r>
          <m:f>
            <m:num>
              <m:sSub>
                <m:e>
                  <m:r>
                    <w:rPr>
                      <w:rFonts w:ascii="Cambria Math" w:hAnsi="Cambria Math"/>
                    </w:rPr>
                    <m:t>2h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R(t)</m:t>
              </m:r>
            </m:den>
          </m:f>
          <m:sSub>
            <m:e>
              <m:r>
                <w:rPr>
                  <w:rFonts w:ascii="Cambria Math" w:hAnsi="Cambria Math"/>
                </w:rPr>
                <m:t>(W(1,t)-C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(t)</m:t>
          </m:r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（29）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这也解释了有限体积权重2V_j为何可在收缩过程中保持不变。该式衡量单位初始干物质质量上的有效水分收支，未给出总干质量时，不把它转换为绝对kg失水量。离散方程仅通过R⁻²尺度、R倍边界和题四物性随时间变化，并保留同一套中心与表面控制体处理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7.3 收缩后的结果与物理位置解释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按照同一全域阈值判据，问题四理想阈值时刻为183925.4006 s，即51.0904 h；严格整秒为183926 s，即51.0906 h。未舍入最大含水率为0.149999692244 kg/kg，终点半径为1.2000 cm。此时表面与平均含水率分别为0.0526、0.1184 kg/kg。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题目要求的每6 h结果见表6，另列出当时半径。物理半径r固定后，先计算s=r/R(t)再从材料坐标解中插值；若r&gt;R(t)，该位置已不属于药材，表中以“—”表示，电子表留空。表面浓度使用s=1直接求值，不能用最后一个仍在材料内的0.1 cm网格点近似，否则会在存在较陡外层梯度时产生系统偏差。</w:t>
      </w:r>
    </w:p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表6  问题四的干基含水率（kg/kg）与瞬时半径；“—”表示域外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132"/>
        <w:gridCol w:w="1132"/>
        <w:gridCol w:w="1132"/>
        <w:gridCol w:w="1132"/>
        <w:gridCol w:w="1132"/>
        <w:gridCol w:w="1132"/>
        <w:gridCol w:w="1132"/>
        <w:gridCol w:w="1132"/>
      </w:tblGrid>
      <w:tr>
        <w:trPr>
          <w:cantSplit/>
          <w:tblHeader/>
        </w:trPr>
        <w:tc>
          <w:tcPr>
            <w:tcW w:type="dxa" w:w="113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时间/h</w:t>
            </w:r>
          </w:p>
        </w:tc>
        <w:tc>
          <w:tcPr>
            <w:tcW w:type="dxa" w:w="113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 cm</w:t>
            </w:r>
          </w:p>
        </w:tc>
        <w:tc>
          <w:tcPr>
            <w:tcW w:type="dxa" w:w="113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0.5 cm</w:t>
            </w:r>
          </w:p>
        </w:tc>
        <w:tc>
          <w:tcPr>
            <w:tcW w:type="dxa" w:w="113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 cm</w:t>
            </w:r>
          </w:p>
        </w:tc>
        <w:tc>
          <w:tcPr>
            <w:tcW w:type="dxa" w:w="113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1.5 cm</w:t>
            </w:r>
          </w:p>
        </w:tc>
        <w:tc>
          <w:tcPr>
            <w:tcW w:type="dxa" w:w="113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2 cm</w:t>
            </w:r>
          </w:p>
        </w:tc>
        <w:tc>
          <w:tcPr>
            <w:tcW w:type="dxa" w:w="113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当时表面</w:t>
            </w:r>
          </w:p>
        </w:tc>
        <w:tc>
          <w:tcPr>
            <w:tcW w:type="dxa" w:w="113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半径/cm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6.0000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1.7188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1.5370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1.0222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0.4205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1.3740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12.0000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0.7374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0.6544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0.4082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0.1669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1.2480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18.0000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0.4086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0.3686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0.2397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0.0892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1.2140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24.0000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0.2851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0.2610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0.1790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0.0673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1.2040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30.0000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0.2263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0.2094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0.1493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0.0595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1.2010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36.0000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0.1928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0.1796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0.1317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0.0560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1.2000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42.0000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0.1712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0.1604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0.1200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0.0541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1.2000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48.0000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0.1561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0.1468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0.1116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0.0530</w:t>
            </w:r>
          </w:p>
        </w:tc>
        <w:tc>
          <w:tcPr>
            <w:tcW w:type="dxa" w:w="113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1.2000</w:t>
            </w:r>
          </w:p>
        </w:tc>
      </w:tr>
      <w:tr>
        <w:trPr>
          <w:cantSplit/>
        </w:trPr>
        <w:tc>
          <w:tcPr>
            <w:tcW w:type="dxa" w:w="113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终点</w:t>
              <w:br/>
              <w:t>51.0906</w:t>
            </w:r>
          </w:p>
        </w:tc>
        <w:tc>
          <w:tcPr>
            <w:tcW w:type="dxa" w:w="113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0.1500</w:t>
            </w:r>
          </w:p>
        </w:tc>
        <w:tc>
          <w:tcPr>
            <w:tcW w:type="dxa" w:w="113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0.1413</w:t>
            </w:r>
          </w:p>
        </w:tc>
        <w:tc>
          <w:tcPr>
            <w:tcW w:type="dxa" w:w="113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0.1081</w:t>
            </w:r>
          </w:p>
        </w:tc>
        <w:tc>
          <w:tcPr>
            <w:tcW w:type="dxa" w:w="113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13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0.0526</w:t>
            </w:r>
          </w:p>
        </w:tc>
        <w:tc>
          <w:tcPr>
            <w:tcW w:type="dxa" w:w="113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1.2000</w:t>
            </w:r>
          </w:p>
        </w:tc>
      </w:tr>
    </w:tbl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在图10中，含水率绘于物理半径坐标，白色区域表示材料外部，曲线为瞬时表面。6 h时半径已缩至1.3740 cm，因此1.5 cm与2 cm两列从这一展示时刻起均为域外；不能将这些空值填成0后再求平均。相比固定半径模型，输运距离缩短，同时单位剩余截面所对应的表面交换比例提高，但实际变化仍取决于题四物性。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5581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558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图10  问题四在物理空间中的含水率与表面轨迹，域外区域留白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7.4 区分几何收缩和物性改变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问题三与问题四不仅几何不同，ρ、c_p、k、D经验式也同时改变。为分离两因素，保持相同初值和环境边界，组合“附录3/附录4物性”与“固定/实测收缩半径”，计算四种反事实情景。它们用于模型内的条件性比较，并不表示四种情况都是实测工艺。结果见图11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在附录3物性下，固定半径需57.4881 h，加入收缩后需25.2428 h；在附录4物性下，固定半径需129.8580 h，加入收缩后需51.0904 h。可见题四物性单独作用时会显著减缓脱水，几何收缩则在两组物性下均缩短时间。由于几何和物性之间存在非线性相互作用，不能从四个时间中简单相加得到固定的独立贡献。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实际两问之间的净时间下降为11.1288%；保持附录4物性时，收缩带来的条件性降幅为60.6567%。前者回答题面两套模型的比较，后者回答“同物性下改变几何”的机制问题。二者口径不同，不能把11.1288%直接命名为纯收缩效应。</w:t>
      </w:r>
    </w:p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2383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238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图11  两组经验物性与两种几何的交叉对照；数值为理想阈值时长（h）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8 数值验证与稳健性分析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8.1 常系数圆柱的解析对照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只有求解器正常退出不足以确认空间离散、中心条件和表面通量均正确。为构造与原程序不同路径的对照，固定D=10⁻⁸ m²/s、R=0.02 m、C_a=0，选择传质Biot数Bi_m=h_mR/D=2，初始含水率均匀为2.55。该特例不用于代替非线性主模型，而用于检验圆柱几何及Robin边界的实现。扩散问题的经典书目见文献[6]，以下特征关系与系数由变量分离自行导出。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令C/2.55=X(s)Y(t)，将常系数扩散方程分离，空间方程为零阶Bessel方程。中心有界排除第二类Bessel函数Y₀，保留X=J₀(μs)。利用J₀′=−J₁及表面Robin条件，得到正特征根μ_n及时间衰减项：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)=</m:t>
          </m:r>
          <m:sSub>
            <m:e>
              <m:r>
                <w:rPr>
                  <w:rFonts w:ascii="Cambria Math" w:hAnsi="Cambria Math"/>
                </w:rPr>
                <m:t>Bi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sSub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(</m:t>
          </m:r>
          <m:sSub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),</m:t>
          </m:r>
          <m:r>
            <w:rPr>
              <w:rFonts w:ascii="Cambria Math" w:hAnsi="Cambria Math"/>
            </w:rPr>
            <m:t xml:space="preserve">  </m:t>
          </m:r>
          <m:sSub>
            <m:e>
              <m:r>
                <w:rPr>
                  <w:rFonts w:ascii="Cambria Math" w:hAnsi="Cambria Math"/>
                </w:rPr>
                <m:t xml:space="preserve"> Y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(t)=</m:t>
          </m:r>
          <m: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(-</m:t>
          </m:r>
          <m:sSubSup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f>
            <m:num>
              <m:r>
                <w:rPr>
                  <w:rFonts w:ascii="Cambria Math" w:hAnsi="Cambria Math"/>
                </w:rPr>
                <m:t>Dt</m:t>
              </m:r>
            </m:num>
            <m:den>
              <m:s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（30）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将初始常数1按权重s投影到上述特征函数，使用Bessel积分恒等式得到展开系数。这里80项级数作为解析参照，避免将相同有限体积程序的一次加密误称为独立解析答案。</w:t>
      </w:r>
    </w:p>
    <w:p>
      <w:pPr>
        <w:keepLines/>
        <w:spacing w:before="80" w:after="80" w:line="300" w:lineRule="auto"/>
        <w:jc w:val="center"/>
      </w:pPr>
      <m:oMathPara>
        <m:oMath>
          <m:f>
            <m:num>
              <m:r>
                <w:rPr>
                  <w:rFonts w:ascii="Cambria Math" w:hAnsi="Cambria Math"/>
                </w:rPr>
                <m:t>C(s,t)</m:t>
              </m:r>
            </m:num>
            <m:den>
              <m:r>
                <w:rPr>
                  <w:rFonts w:ascii="Cambria Math" w:hAnsi="Cambria Math"/>
                </w:rPr>
                <m:t>2.55</m:t>
              </m:r>
            </m:den>
          </m:f>
          <m:r>
            <w:rPr>
              <w:rFonts w:ascii="Cambria Math" w:hAnsi="Cambria Math"/>
            </w:rPr>
            <m:t>≈</m:t>
          </m:r>
          <m:sSubSup>
            <m:e>
              <m:r>
                <w:rPr>
                  <w:rFonts w:ascii="Cambria Math" w:hAnsi="Cambria Math"/>
                </w:rPr>
                <m:t>∑</m:t>
              </m:r>
            </m:e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80</m:t>
              </m:r>
            </m:sup>
          </m:sSubSup>
          <m:sSub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(</m:t>
          </m:r>
          <m:sSub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s)</m:t>
          </m:r>
          <m: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(-</m:t>
          </m:r>
          <m:sSubSup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f>
            <m:num>
              <m:r>
                <w:rPr>
                  <w:rFonts w:ascii="Cambria Math" w:hAnsi="Cambria Math"/>
                </w:rPr>
                <m:t>Dt</m:t>
              </m:r>
            </m:num>
            <m:den>
              <m:sSup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)</m:t>
          </m:r>
        </m:oMath>
      </m:oMathPara>
      <w:r>
        <w:rPr>
          <w:rFonts w:ascii="Times New Roman" w:hAnsi="Times New Roman" w:cs="Times New Roman" w:eastAsia="Songti SC"/>
          <w:sz w:val="20"/>
        </w:rPr>
        <w:t xml:space="preserve">  （31）</w:t>
      </w:r>
    </w:p>
    <w:p>
      <w:pPr>
        <w:keepLines/>
        <w:spacing w:before="80" w:after="80" w:line="300" w:lineRule="auto"/>
        <w:jc w:val="center"/>
      </w:pPr>
      <m:oMathPara>
        <m:oMath>
          <m:sSub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num>
              <m:sSubSup>
                <m:e>
                  <m:r>
                    <w:rPr>
                      <w:rFonts w:ascii="Cambria Math" w:hAnsi="Cambria Math"/>
                    </w:rPr>
                    <m:t>∫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bSup>
              <m:sSub>
                <m:e>
                  <m:r>
                    <w:rPr>
                      <w:rFonts w:ascii="Cambria Math" w:hAnsi="Cambria Math"/>
                    </w:rPr>
                    <m:t>sJ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s)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ds</m:t>
              </m:r>
            </m:num>
            <m:den>
              <m:sSubSup>
                <m:e>
                  <m:r>
                    <w:rPr>
                      <w:rFonts w:ascii="Cambria Math" w:hAnsi="Cambria Math"/>
                    </w:rPr>
                    <m:t>∫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bSup>
              <m:sSubSup>
                <m:e>
                  <m:r>
                    <w:rPr>
                      <w:rFonts w:ascii="Cambria Math" w:hAnsi="Cambria Math"/>
                    </w:rPr>
                    <m:t>sJ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(</m:t>
              </m:r>
              <m:sSub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s)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ds</m:t>
              </m:r>
            </m:den>
          </m:f>
          <m:r>
            <w:rPr>
              <w:rFonts w:ascii="Cambria Math" w:hAnsi="Cambria Math"/>
            </w:rPr>
            <m:t>=</m:t>
          </m:r>
          <m:f>
            <m:num>
              <m:sSub>
                <m:e>
                  <m:r>
                    <w:rPr>
                      <w:rFonts w:ascii="Cambria Math" w:hAnsi="Cambria Math"/>
                    </w:rPr>
                    <m:t>2J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sSub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bSup>
                <m:e>
                  <m:r>
                    <w:rPr>
                      <w:rFonts w:ascii="Cambria Math" w:hAnsi="Cambria Math"/>
                    </w:rPr>
                    <m:t>[J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(</m:t>
              </m:r>
              <m:sSub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bSup>
                <m:e>
                  <m:r>
                    <w:rPr>
                      <w:rFonts w:ascii="Cambria Math" w:hAnsi="Cambria Math"/>
                    </w:rPr>
                    <m:t>)+J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(</m:t>
              </m:r>
              <m:sSub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)]</m:t>
              </m:r>
            </m:den>
          </m:f>
        </m:oMath>
      </m:oMathPara>
      <w:r>
        <w:rPr>
          <w:rFonts w:ascii="Times New Roman" w:hAnsi="Times New Roman" w:cs="Times New Roman" w:eastAsia="Songti SC"/>
          <w:sz w:val="20"/>
        </w:rPr>
        <w:t xml:space="preserve">  （32）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分别在100、1000、10000 s对全径向节点比较，误差定义为最大绝对浓度差除以初始值2.55。N=40、80、160、320时最大归一化误差依次约为1.2613×10⁻³、3.1803×10⁻⁴、7.9053×10⁻⁵和1.9738×10⁻⁵，呈近二阶下降。最终误差小于预设5×10⁻⁵，支持几何离散和边界处理的正确性；这种特例验证不能替代非线性时长的单独收敛检查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8.2 非线性模型的空间与时间收敛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对三套正式模型逐级使用N=40、80、160、320、640、1280，保持物理参数和环境延拓不变。预设停止条件为相邻网格的两种烘干时间相对差均低于0.1%，同时问题一指定表格的温度和含水率最大绝对变化均小于0.0002。相邻差以较细网格的时间为分母，是工程性的数值稳定指标，不等于严格的连续方程误差上界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两种模型的结果见表7，图12重点展示问题三。问题三在N=40时得到223 h以上的时间，显著偏离加密结果；N=1280才满足预设的时长条件。题目要求每0.1 cm输出，并不意味着可直接用20个径向区间求解。必须先以足够细的网格计算，再插值到报告位置，否则会把空间离散偏差当作药材真实的慢干燥过程。</w:t>
      </w:r>
    </w:p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表7  径向网格加密与理想阈值时间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812"/>
        <w:gridCol w:w="1812"/>
        <w:gridCol w:w="1812"/>
        <w:gridCol w:w="1812"/>
        <w:gridCol w:w="1812"/>
      </w:tblGrid>
      <w:tr>
        <w:trPr>
          <w:cantSplit/>
          <w:tblHeader/>
        </w:trPr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径向区间N</w:t>
            </w:r>
          </w:p>
        </w:tc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问题三/h</w:t>
            </w:r>
          </w:p>
        </w:tc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问题四/h</w:t>
            </w:r>
          </w:p>
        </w:tc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问题三相邻差/%</w:t>
            </w:r>
          </w:p>
        </w:tc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问题四相邻差/%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40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223.3033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54.4936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80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87.3925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51.7334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155.5177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5.3354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160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60.4384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51.2253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44.5976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0.9920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320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57.8626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51.1202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4.4517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0.2057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640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57.5413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51.0962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0.5583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0.0469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1280</w:t>
            </w:r>
          </w:p>
        </w:tc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57.4881</w:t>
            </w:r>
          </w:p>
        </w:tc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51.0904</w:t>
            </w:r>
          </w:p>
        </w:tc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0.0925</w:t>
            </w:r>
          </w:p>
        </w:tc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0.0114</w:t>
            </w:r>
          </w:p>
        </w:tc>
      </w:tr>
    </w:tbl>
    <w:p>
      <w:pPr>
        <w:keepNext/>
        <w:spacing w:before="80" w:after="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52800" cy="251247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2800" cy="2512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0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19"/>
        </w:rPr>
        <w:t>图12  问题三烘干时间的空间收敛；左图横轴为以2为底的对数尺度，右图放大细网格区间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后期表层含水率较低，D随C呈指数下降，整个干燥过程对外层阻力十分敏感。粗网格不能充分解析表面附近的系数和浓度变化，离散后的串联传质阻力因而偏大。网格加密主要改变后期事件时间，并不一定在早期温度剖面上表现为明显差异。这说明只检查前30 min的表格平滑程度无法验证全过程时间。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在最终N=1280下，将相对容差收紧至10⁻⁹，温度与含水率绝对容差分别收紧到10⁻⁹和10⁻¹¹，并把前后阶段最大步长分别缩短至30 s、60 s。问题三、四的事件时刻分别改变0.0040 s和0.0692 s，远小于相邻空间网格造成的差异。当前配置下主要数值不确定性来自空间分辨率，无需用逐秒显式步进替代带误差控制的隐式方法。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8.3 平衡、极限情形与范围检查</w:t>
      </w:r>
    </w:p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表8  数值验证结果与适用口径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3020"/>
        <w:gridCol w:w="3020"/>
        <w:gridCol w:w="3020"/>
      </w:tblGrid>
      <w:tr>
        <w:trPr>
          <w:cantSplit/>
          <w:tblHeader/>
        </w:trPr>
        <w:tc>
          <w:tcPr>
            <w:tcW w:type="dxa" w:w="302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验证内容</w:t>
            </w:r>
          </w:p>
        </w:tc>
        <w:tc>
          <w:tcPr>
            <w:tcW w:type="dxa" w:w="302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实际结果</w:t>
            </w:r>
          </w:p>
        </w:tc>
        <w:tc>
          <w:tcPr>
            <w:tcW w:type="dxa" w:w="3020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解释或目标</w:t>
            </w:r>
          </w:p>
        </w:tc>
      </w:tr>
      <w:tr>
        <w:trPr>
          <w:cantSplit/>
        </w:trPr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常D解析特例，N=320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1.9738×10⁻⁵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最大归一化误差&lt;5×10⁻⁵</w:t>
            </w:r>
          </w:p>
        </w:tc>
      </w:tr>
      <w:tr>
        <w:trPr>
          <w:cantSplit/>
        </w:trPr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问题一温度表相邻网格差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0.0001418 ℃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&lt;0.0002 ℃</w:t>
            </w:r>
          </w:p>
        </w:tc>
      </w:tr>
      <w:tr>
        <w:trPr>
          <w:cantSplit/>
        </w:trPr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问题一含水率表相邻差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0.0000219 kg/kg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&lt;0.0002 kg/kg</w:t>
            </w:r>
          </w:p>
        </w:tc>
      </w:tr>
      <w:tr>
        <w:trPr>
          <w:cantSplit/>
        </w:trPr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问题三时间加密差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0.0040 s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固定N=1280</w:t>
            </w:r>
          </w:p>
        </w:tc>
      </w:tr>
      <w:tr>
        <w:trPr>
          <w:cantSplit/>
        </w:trPr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问题四时间加密差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0.0692 s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固定N=1280</w:t>
            </w:r>
          </w:p>
        </w:tc>
      </w:tr>
      <w:tr>
        <w:trPr>
          <w:cantSplit/>
        </w:trPr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三套模型平均量加累计流出量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最大残差&lt;10⁻¹⁴</w:t>
            </w:r>
          </w:p>
        </w:tc>
        <w:tc>
          <w:tcPr>
            <w:tcW w:type="dxa" w:w="3020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干基比率的离散平衡</w:t>
            </w:r>
          </w:p>
        </w:tc>
      </w:tr>
      <w:tr>
        <w:trPr>
          <w:cantSplit/>
        </w:trPr>
        <w:tc>
          <w:tcPr>
            <w:tcW w:type="dxa" w:w="302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无通量均匀收缩极限</w:t>
            </w:r>
          </w:p>
        </w:tc>
        <w:tc>
          <w:tcPr>
            <w:tcW w:type="dxa" w:w="302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含水率最大误差0</w:t>
            </w:r>
          </w:p>
        </w:tc>
        <w:tc>
          <w:tcPr>
            <w:tcW w:type="dxa" w:w="3020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收缩本身不改变干基比率</w:t>
            </w:r>
          </w:p>
        </w:tc>
      </w:tr>
    </w:tbl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不同方向的验证汇总于表8。累计流出量与加权平均含水率的平衡残差接近浮点舍入水平，表明控制体间内部通量没有人为产生或消耗水分比率；但即使该平衡精确成立，粗网格仍可能给出明显错误的烘干时间，故守恒和收敛不可相互替代。无通量、均匀含水率的收缩测试保持原值，用于检查没有额外加入几何压缩源项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温度和含水率在诊断采样及完整电子表上均为有限值，浓度非负且不超过初值的数值容差。温度未超过输入环境与初值给定的合理范围。诊断使用1201个时间样本，其最大值只称为诊断样本极值；全文不据此断言连续时间上的精确最大温度。相比之下，终点含水率由事件后直接求值的全部径向节点确定，不依赖稀疏诊断时间采样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8.4 环境延拓情景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为直接评估前4 h观测不能覆盖全程的影响，保持前4 h完全一致，只改变此后的恒定边界。除基准末1 h均值外，采用最后一个观测值、末2 h均值、末1 h最高温度配最低浓度、最低温度配最高浓度四种情景。极值组合刻意朝加快或减慢干燥方向设置，并非声称温湿极值在原始记录中同时发生。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表9给出实际重算的结果。问题三在这些边界下的阈值时间范围为57.0532—57.9370 h，问题四为50.7075—51.4856 h，变化量明显高于时间积分误差。该范围是五个指定情景的最小、最大值，不是95%置信区间，也不是包含所有未来气候和设备工况的保证区间。若后续出现持续降温、停机或湿度累积，真实边界可能超出这些情景。</w:t>
      </w:r>
    </w:p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表9  改变长期环境延拓的条件性结果，其他参数保持基准值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1812"/>
        <w:gridCol w:w="1812"/>
        <w:gridCol w:w="1812"/>
        <w:gridCol w:w="1812"/>
        <w:gridCol w:w="1812"/>
      </w:tblGrid>
      <w:tr>
        <w:trPr>
          <w:cantSplit/>
          <w:tblHeader/>
        </w:trPr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4 h后边界</w:t>
            </w:r>
          </w:p>
        </w:tc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温度/℃</w:t>
            </w:r>
          </w:p>
        </w:tc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浓度/(kg/kg)</w:t>
            </w:r>
          </w:p>
        </w:tc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问题三/h</w:t>
            </w:r>
          </w:p>
        </w:tc>
        <w:tc>
          <w:tcPr>
            <w:tcW w:type="dxa" w:w="1812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问题四/h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末1 h均值（基准）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49.9989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0.0500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57.4881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51.0904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末次观测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50.1650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0.0499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57.1836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50.8226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末2 h均值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49.9685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0.0499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57.5417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51.1365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较快边界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50.2360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0.0498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57.0532</w:t>
            </w:r>
          </w:p>
        </w:tc>
        <w:tc>
          <w:tcPr>
            <w:tcW w:type="dxa" w:w="1812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50.7075</w:t>
            </w:r>
          </w:p>
        </w:tc>
      </w:tr>
      <w:tr>
        <w:trPr>
          <w:cantSplit/>
        </w:trPr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较慢边界</w:t>
            </w:r>
          </w:p>
        </w:tc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49.7570</w:t>
            </w:r>
          </w:p>
        </w:tc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0.0502</w:t>
            </w:r>
          </w:p>
        </w:tc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57.9370</w:t>
            </w:r>
          </w:p>
        </w:tc>
        <w:tc>
          <w:tcPr>
            <w:tcW w:type="dxa" w:w="1812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51.4856</w:t>
            </w:r>
          </w:p>
        </w:tc>
      </w:tr>
    </w:tbl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需要注意表9中的浓度只显示四位小数，不同情景可能均显示为0.0500，但计算采用各自原始精度。长期时长对环境的响应经非线性扩散率累积，不能先把输入取四位小数再期待完全相同的时间。实际工艺应用时，应优先记录整个干燥期的环境轨迹，再将延拓边界替换为真实记录重算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8.5 物性与交换参数的单因素扰动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基准环境和相同网格下，对扩散系数的整体倍率、传质系数和换热系数分别作±10%扰动，每次仅改变一个量。该测试不假设参数误差服从某种概率分布，也不将题给经验式当成经本数据拟合出的统计模型。对于扩散系数，改变的是整个D(C,T_K)的幅度，保留含水率与温度依赖形状；因此结果只解释幅度敏感性，未覆盖活化参数和指数形式的误差。</w:t>
      </w:r>
    </w:p>
    <w:p>
      <w:pPr>
        <w:keepNext/>
        <w:spacing w:before="0" w:after="0" w:line="300" w:lineRule="auto"/>
        <w:jc w:val="center"/>
      </w:pPr>
      <w:r>
        <w:rPr>
          <w:rFonts w:ascii="Times New Roman" w:hAnsi="Times New Roman" w:eastAsia="Songti SC" w:cs="Times New Roman"/>
          <w:b w:val="0"/>
          <w:sz w:val="20"/>
        </w:rPr>
        <w:t>表10  单因素±10%参数扰动，环境及其他参数固定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2265"/>
        <w:gridCol w:w="2265"/>
        <w:gridCol w:w="2265"/>
        <w:gridCol w:w="2265"/>
      </w:tblGrid>
      <w:tr>
        <w:trPr>
          <w:cantSplit/>
          <w:tblHeader/>
        </w:trPr>
        <w:tc>
          <w:tcPr>
            <w:tcW w:type="dxa" w:w="2265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变化参数</w:t>
            </w:r>
          </w:p>
        </w:tc>
        <w:tc>
          <w:tcPr>
            <w:tcW w:type="dxa" w:w="2265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倍率</w:t>
            </w:r>
          </w:p>
        </w:tc>
        <w:tc>
          <w:tcPr>
            <w:tcW w:type="dxa" w:w="2265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问题三/h</w:t>
            </w:r>
          </w:p>
        </w:tc>
        <w:tc>
          <w:tcPr>
            <w:tcW w:type="dxa" w:w="2265"/>
            <w:tcBorders>
              <w:bottom w:val="single" w:sz="4" w:space="0" w:color="000000"/>
            </w:tcBorders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/>
                <w:sz w:val="18"/>
              </w:rPr>
            </w:r>
            <w:r>
              <w:rPr>
                <w:rFonts w:ascii="Times New Roman" w:hAnsi="Times New Roman" w:eastAsia="Songti SC" w:cs="Times New Roman"/>
                <w:b/>
                <w:sz w:val="18"/>
              </w:rPr>
              <w:t>问题四/h</w:t>
            </w:r>
          </w:p>
        </w:tc>
      </w:tr>
      <w:tr>
        <w:trPr>
          <w:cantSplit/>
        </w:trPr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扩散系数D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0.9000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63.1509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56.0907</w:t>
            </w:r>
          </w:p>
        </w:tc>
      </w:tr>
      <w:tr>
        <w:trPr>
          <w:cantSplit/>
        </w:trPr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扩散系数D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1.1000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52.8775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47.0103</w:t>
            </w:r>
          </w:p>
        </w:tc>
      </w:tr>
      <w:tr>
        <w:trPr>
          <w:cantSplit/>
        </w:trPr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传质系数h_m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0.9000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58.2217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51.3813</w:t>
            </w:r>
          </w:p>
        </w:tc>
      </w:tr>
      <w:tr>
        <w:trPr>
          <w:cantSplit/>
        </w:trPr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传质系数h_m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1.1000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56.9132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50.8698</w:t>
            </w:r>
          </w:p>
        </w:tc>
      </w:tr>
      <w:tr>
        <w:trPr>
          <w:cantSplit/>
        </w:trPr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换热系数h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0.9000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57.4969</w:t>
            </w:r>
          </w:p>
        </w:tc>
        <w:tc>
          <w:tcPr>
            <w:tcW w:type="dxa" w:w="2265"/>
          </w:tcPr>
          <w:p>
            <w:pPr>
              <w:keepNext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51.0984</w:t>
            </w:r>
          </w:p>
        </w:tc>
      </w:tr>
      <w:tr>
        <w:trPr>
          <w:cantSplit/>
        </w:trPr>
        <w:tc>
          <w:tcPr>
            <w:tcW w:type="dxa" w:w="2265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换热系数h</w:t>
            </w:r>
          </w:p>
        </w:tc>
        <w:tc>
          <w:tcPr>
            <w:tcW w:type="dxa" w:w="2265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1.1000</w:t>
            </w:r>
          </w:p>
        </w:tc>
        <w:tc>
          <w:tcPr>
            <w:tcW w:type="dxa" w:w="2265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57.4810</w:t>
            </w:r>
          </w:p>
        </w:tc>
        <w:tc>
          <w:tcPr>
            <w:tcW w:type="dxa" w:w="2265"/>
          </w:tcPr>
          <w:p>
            <w:pPr>
              <w:keepNext w:val="0"/>
              <w:spacing w:line="247" w:lineRule="auto" w:after="40" w:before="40"/>
              <w:jc w:val="center"/>
            </w:pPr>
            <w:r>
              <w:rPr>
                <w:rFonts w:ascii="Times New Roman" w:hAnsi="Times New Roman" w:cs="Times New Roman" w:eastAsia="Songti SC"/>
                <w:b w:val="0"/>
                <w:sz w:val="18"/>
              </w:rPr>
            </w:r>
            <w:r>
              <w:rPr>
                <w:rFonts w:ascii="Times New Roman" w:hAnsi="Times New Roman" w:eastAsia="Songti SC" w:cs="Times New Roman"/>
                <w:b w:val="0"/>
                <w:sz w:val="18"/>
              </w:rPr>
              <w:t>51.0839</w:t>
            </w:r>
          </w:p>
        </w:tc>
      </w:tr>
    </w:tbl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从表10可见，D降低10%使问题三、四时间分别增至63.1509 h和56.0907 h，D提高10%则降至52.8775 h和47.0103 h，影响最大。传质系数增减也改变终点，但幅度较小；换热系数的影响最小。这与干燥后期热场已接近环境、传质仍缓慢的状态一致。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在问题三中，换热系数扰动的时间影响小于相邻网格的时间变化；问题四中二者处于同一量级。因此当前结果仅支持换热系数影响较弱的定性判断，不进一步报告精确的物理弹性或据此优化设备。更有价值的后续测量是低含水率区间的扩散能力、表面平衡关系和持续环境条件。由于没有重复试验、测量误差模型和内部含水率观测，本研究不给参数置信区间，也不宣称某组参数已由数据唯一识别。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9 模型评价与结论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9.1 可解释性与适用范围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本模型以同一通量结构衔接四问，初值、中心条件和有效对流边界保持一致，物性与几何按题意更换。有限体积的环形权重明确了中心节点和截面平均的意义；解析雅可比提高了刚性求解的稳定性；材料参考坐标使收缩过程避免反复重建网格，并保留干物质质量基准。所有关键表格和曲线均由相同实际解生成，结果可沿参数、场值和终点判据逐层核对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模型也存在不能由数值加密消除的限制。第一，长圆柱中段近似省略了端部和轴向效应，不能给出真实三维对象每一点的误差界。第二，缺少汽化潜热、吸附等温线和收缩引起孔隙结构演变的信息，热学与两相边界使用了有效闭合，当前结果不能用于精确预测能耗、裂纹或药效成分变化。第三，半径只规定整体几何变化，均匀材料收缩假设没有内部位移数据验证；相同表面半径可以对应不同内部形变场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第四，环境延拓和经验物性决定了长期时长的条件性。原始附件没有内部温度、含水率或总质量的时间序列，因此无法开展模型对真实药材的残差拟合、交叉验证和独立实验预测评价。本文报告的解析误差、通量平衡和收敛性只验证所建立方程的实现，不能转述为“对真实药材的误差小于0.1%”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9.2 可检验的改进方向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如果增加一次完整烘干试验，应同步记录全时段环境、总质量、中心与表面温度，并在若干时刻测定径向含水率和半径。先以实际环境替换延拓，再用总质量检查平均脱水趋势，用内部剖面检查扩散阻力位置；若只匹配总质量而剖面仍明显偏离，说明有效D或表面平衡关系需要重新建立。这样可区分边界输入错误和内部输运模型错误，而不是把所有偏差吸收进一个经验系数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若需要评估端面影响，可在相同物性下建立二维轴对称模型，以中截面和最湿点位置随长度变化的结果评估径向近似；若需要评估收缩机理，应测定材料点位移，检验均匀收缩假设。对于工程停机，应在实际误差和测量反馈基础上另行设置裕量，本文取下一整秒仅用于数学上的严格不等号处理，不提供生产安全保证。</w:t>
      </w:r>
    </w:p>
    <w:p>
      <w:pPr>
        <w:keepNext/>
        <w:pageBreakBefore w:val="0"/>
        <w:spacing w:before="10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4"/>
        </w:rPr>
        <w:t>9.3 四问结论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问题一在1800 s的中心、表面温度为33.5753 ℃和36.7855 ℃，干基含水率为2.5500和1.5102 kg/kg，说明预热期间中心水分明显滞后于温度响应。问题二采用统一非线性经验式，3 h时温度已接近50 ℃，但中心含水率仍为1.7662 kg/kg，需要继续干燥。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问题三在末1 h环境均值延拓条件下，严格整秒达标时间为206958 s，即57.4883 h；问题四在题四物性与实测收缩半径下为183926 s，即51.0906 h，终点半径1.2000 cm。两种模型均以未舍入全节点最大含水率判断达标。四份结果表保留题目要求的时间和空间输出，问题四域外位置留空并提供真实表面列。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细网格、解析特例、时间加密和有效含水率平衡共同支持数值实现，长期边界及物性扰动显示预测仍有条件。收缩与经验物性的交叉对照说明，题四净时间缩短不能全部归于几何作用。以上结论回答题面给定参数下的模型问题，真实工艺时长仍需完整环境与药材内部观测检验。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AI工具使用声明</w:t>
      </w:r>
    </w:p>
    <w:p>
      <w:pPr>
        <w:widowControl/>
        <w:spacing w:before="0" w:after="60" w:line="293" w:lineRule="auto"/>
        <w:ind w:firstLine="480"/>
        <w:jc w:val="both"/>
      </w:pPr>
      <w:r>
        <w:rPr>
          <w:rFonts w:ascii="Times New Roman" w:hAnsi="Times New Roman" w:eastAsia="Songti SC" w:cs="Times New Roman"/>
          <w:b w:val="0"/>
          <w:sz w:val="23"/>
        </w:rPr>
        <w:t>本文使用OpenAI Codex及数学建模辅助工作流，AI参与模型推导、程序编写、数值分析、图表制作与文稿生成，并开展代理之间的独立检查；这种检查不等于队员人工复核。精确后端模型版本未获得可独立核验的信息。AI使用的具体环节、代表性输入、采用与修正情况见支撑材料“AI工具使用详情.pdf”。当前材料为AI深度参与的完整参考稿，尚未收到队员人工理解、核对和修订完成的确认，提交前应依据当届规定[7]完成相应责任要求，不将本声明解释为队员已独立完成核心研究。</w:t>
      </w:r>
    </w:p>
    <w:p>
      <w:pPr>
        <w:keepNext/>
        <w:pageBreakBefore w:val="0"/>
        <w:spacing w:before="160" w:after="100" w:line="300" w:lineRule="auto"/>
        <w:jc w:val="left"/>
      </w:pPr>
      <w:r>
        <w:rPr>
          <w:rFonts w:ascii="Times New Roman" w:hAnsi="Times New Roman" w:eastAsia="Songti SC" w:cs="Times New Roman"/>
          <w:b/>
          <w:sz w:val="28"/>
        </w:rPr>
        <w:t>参考文献</w:t>
      </w:r>
    </w:p>
    <w:p>
      <w:pPr>
        <w:keepLines/>
        <w:widowControl/>
        <w:spacing w:before="0" w:after="60" w:line="293" w:lineRule="auto"/>
        <w:ind w:firstLine="0"/>
        <w:jc w:val="left"/>
      </w:pPr>
      <w:r>
        <w:rPr>
          <w:rFonts w:ascii="Times New Roman" w:hAnsi="Times New Roman" w:eastAsia="Songti SC" w:cs="Times New Roman"/>
          <w:b w:val="0"/>
          <w:sz w:val="20"/>
        </w:rPr>
        <w:t>[1] Fritsch F N, Butland J. A method for constructing local monotone piecewise cubic interpolants[J]. SIAM Journal on Scientific and Statistical Computing, 1984, 5(2): 300–304. DOI: 10.1137/0905021.</w:t>
      </w:r>
    </w:p>
    <w:p>
      <w:pPr>
        <w:keepLines/>
        <w:widowControl/>
        <w:spacing w:before="0" w:after="60" w:line="293" w:lineRule="auto"/>
        <w:ind w:firstLine="0"/>
        <w:jc w:val="left"/>
      </w:pPr>
      <w:r>
        <w:rPr>
          <w:rFonts w:ascii="Times New Roman" w:hAnsi="Times New Roman" w:eastAsia="Songti SC" w:cs="Times New Roman"/>
          <w:b w:val="0"/>
          <w:sz w:val="20"/>
        </w:rPr>
        <w:t>[2] Patankar S V. Numerical Heat Transfer and Fluid Flow[M]. New York: Hemisphere Publishing, 1980. DOI: 10.1201/9781482234213.</w:t>
      </w:r>
    </w:p>
    <w:p>
      <w:pPr>
        <w:keepLines/>
        <w:widowControl/>
        <w:spacing w:before="0" w:after="60" w:line="293" w:lineRule="auto"/>
        <w:ind w:firstLine="0"/>
        <w:jc w:val="left"/>
      </w:pPr>
      <w:r>
        <w:rPr>
          <w:rFonts w:ascii="Times New Roman" w:hAnsi="Times New Roman" w:eastAsia="Songti SC" w:cs="Times New Roman"/>
          <w:b w:val="0"/>
          <w:sz w:val="20"/>
        </w:rPr>
        <w:t>[3] Virtanen P, Gommers R, Oliphant T E, et al. SciPy 1.0: fundamental algorithms for scientific computing in Python[J]. Nature Methods, 2020, 17: 261–272. DOI: 10.1038/s41592-019-0686-2.</w:t>
      </w:r>
    </w:p>
    <w:p>
      <w:pPr>
        <w:keepLines/>
        <w:widowControl/>
        <w:spacing w:before="0" w:after="60" w:line="293" w:lineRule="auto"/>
        <w:ind w:firstLine="0"/>
        <w:jc w:val="left"/>
      </w:pPr>
      <w:r>
        <w:rPr>
          <w:rFonts w:ascii="Times New Roman" w:hAnsi="Times New Roman" w:eastAsia="Songti SC" w:cs="Times New Roman"/>
          <w:b w:val="0"/>
          <w:sz w:val="20"/>
        </w:rPr>
        <w:t>[4] SciPy developers. scipy.integrate.solve_ivp[EB/OL]. [2026-09-10]. https://docs.scipy.org/doc/scipy/reference/generated/scipy.integrate.solve_ivp.html.</w:t>
      </w:r>
    </w:p>
    <w:p>
      <w:pPr>
        <w:keepLines/>
        <w:widowControl/>
        <w:spacing w:before="0" w:after="60" w:line="293" w:lineRule="auto"/>
        <w:ind w:firstLine="0"/>
        <w:jc w:val="left"/>
      </w:pPr>
      <w:r>
        <w:rPr>
          <w:rFonts w:ascii="Times New Roman" w:hAnsi="Times New Roman" w:eastAsia="Songti SC" w:cs="Times New Roman"/>
          <w:b w:val="0"/>
          <w:sz w:val="20"/>
        </w:rPr>
        <w:t>[5] Yang H, Sakai N, Watanabe M. Drying model with non-isotropic shrinkage deformation undergoing simultaneous heat and mass transfer[J]. Drying Technology, 2001, 19(7): 1441–1460. DOI: 10.1081/DRT-100105299.</w:t>
      </w:r>
    </w:p>
    <w:p>
      <w:pPr>
        <w:keepLines/>
        <w:widowControl/>
        <w:spacing w:before="0" w:after="60" w:line="293" w:lineRule="auto"/>
        <w:ind w:firstLine="0"/>
        <w:jc w:val="left"/>
      </w:pPr>
      <w:r>
        <w:rPr>
          <w:rFonts w:ascii="Times New Roman" w:hAnsi="Times New Roman" w:eastAsia="Songti SC" w:cs="Times New Roman"/>
          <w:b w:val="0"/>
          <w:sz w:val="20"/>
        </w:rPr>
        <w:t>[6] Crank J. The Mathematics of Diffusion[M]. 2nd ed. Oxford: Clarendon Press, 1975. ISBN: 0198533446.</w:t>
      </w:r>
    </w:p>
    <w:p>
      <w:pPr>
        <w:keepLines/>
        <w:widowControl/>
        <w:spacing w:before="0" w:after="60" w:line="293" w:lineRule="auto"/>
        <w:ind w:firstLine="0"/>
        <w:jc w:val="left"/>
      </w:pPr>
      <w:r>
        <w:rPr>
          <w:rFonts w:ascii="Times New Roman" w:hAnsi="Times New Roman" w:eastAsia="Songti SC" w:cs="Times New Roman"/>
          <w:b w:val="0"/>
          <w:sz w:val="20"/>
        </w:rPr>
        <w:t>[7] 全国大学生数学建模竞赛组委会. 全国大学生数学建模竞赛人工智能工具使用规定（2026年试行）[EB/OL]. [2026-09-10]. https://www.mcm.edu.cn/html_cn/node/fef94648f2836ab6cc81586f4c38512b.html.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23" w:right="1423" w:bottom="1423" w:left="1423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PrintPrint" o:spid="_x0000_s2049" type="#_x0000_t136" fillcolor="#A0A0A0" stroked="f" o:allowincell="f" style="position:absolute;margin-left:0;margin-top:0;width:320pt;height:80pt;rotation:315;z-index:-251656192;mso-position-horizontal:center;mso-position-horizontal-relative:page;mso-position-vertical:center;mso-position-vertical-relative:page">
          <v:fill opacity="0.20"/>
          <v:textpath style="font-family:&quot;Songti SC&quot;;font-size:1pt" string="打印打印"/>
          <w10:wrap type="none" anchorx="page" anchory="page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 w:eastAsia="Songti SC" w:cs="Songti S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Songti SC" w:hAnsi="Songti SC" w:eastAsia="Songti SC" w:cs="Songti SC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Songti SC" w:hAnsi="Songti SC" w:eastAsia="Songti SC" w:cs="Songti SC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ongti SC" w:hAnsi="Songti SC" w:eastAsia="Songti SC" w:cs="Songti S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Songti SC" w:hAnsi="Songti SC" w:eastAsia="Songti SC" w:cs="Songti S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Songti SC" w:hAnsi="Songti SC" w:eastAsia="Songti SC" w:cs="Songti S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Songti SC" w:hAnsi="Songti SC" w:eastAsia="Songti SC" w:cs="Songti S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Songti SC" w:hAnsi="Songti SC" w:eastAsia="Songti SC" w:cs="Songti S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Songti SC" w:hAnsi="Songti SC" w:eastAsia="Songti SC" w:cs="Songti S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Songti SC" w:hAnsi="Songti SC" w:eastAsia="Songti SC" w:cs="Songti S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ongti SC" w:hAnsi="Songti SC" w:eastAsia="Songti SC" w:cs="Songti S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Songti SC" w:hAnsi="Songti SC" w:eastAsia="Songti SC" w:cs="Songti S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Songti SC" w:hAnsi="Songti SC" w:eastAsia="Songti SC" w:cs="Songti S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Songti SC" w:hAnsi="Songti SC" w:eastAsia="Songti SC" w:cs="Songti S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Songti SC" w:hAnsi="Songti SC" w:eastAsia="Songti SC" w:cs="Songti S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Songti SC" w:hAnsi="Songti SC" w:eastAsia="Songti SC" w:cs="Songti S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Songti SC" w:hAnsi="Songti SC" w:eastAsia="Songti SC" w:cs="Songti S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Songti SC" w:hAnsi="Songti SC" w:eastAsia="Songti SC" w:cs="Songti S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Songti SC" w:hAnsi="Songti SC" w:eastAsia="Songti SC" w:cs="Songti S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ongti SC" w:hAnsi="Songti SC" w:eastAsia="Songti SC" w:cs="Songti S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Songti SC" w:hAnsi="Songti SC" w:eastAsia="Songti SC" w:cs="Songti S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Songti SC" w:hAnsi="Songti SC" w:eastAsia="Songti SC" w:cs="Songti S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Songti SC" w:hAnsi="Songti SC" w:eastAsia="Songti SC" w:cs="Songti S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Songti SC" w:hAnsi="Songti SC" w:eastAsia="Songti SC" w:cs="Songti S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Songti SC" w:hAnsi="Songti SC" w:eastAsia="Songti SC" w:cs="Songti S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Songti SC" w:hAnsi="Songti SC" w:eastAsia="Songti SC" w:cs="Songti S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Songti SC" w:hAnsi="Songti SC" w:eastAsia="Songti SC" w:cs="Songti S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Songti SC" w:hAnsi="Songti SC" w:eastAsia="Songti SC" w:cs="Songti S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ongti SC" w:hAnsi="Songti SC" w:eastAsia="Songti SC" w:cs="Songti S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Songti SC" w:hAnsi="Songti SC" w:eastAsia="Songti SC" w:cs="Songti S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Songti SC" w:hAnsi="Songti SC" w:eastAsia="Songti SC" w:cs="Songti S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Songti SC" w:hAnsi="Songti SC" w:eastAsia="Songti SC" w:cs="Songti S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Songti SC" w:hAnsi="Songti SC" w:eastAsia="Songti SC" w:cs="Songti S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非线性热质传递与收缩耦合下的药材烘干时间预测</dc:title>
  <dc:subject>2026年全国大学生数学建模竞赛A题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