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283" w:lineRule="auto" w:after="240"/>
        <w:jc w:val="center"/>
      </w:pPr>
      <w:r>
        <w:rPr>
          <w:rFonts w:ascii="Times New Roman" w:hAnsi="Times New Roman" w:cs="Times New Roman" w:eastAsia="Songti SC"/>
          <w:b/>
          <w:sz w:val="32"/>
        </w:rPr>
        <w:t>AI工具使用详情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适用材料：2026年高教社杯全国大学生数学建模竞赛 A 题《药材的烘干问题》。记录更新：2026年9月12日。</w:t>
      </w:r>
    </w:p>
    <w:p>
      <w:pPr>
        <w:pStyle w:val="Heading1"/>
        <w:keepNext/>
        <w:pageBreakBefore w:val="0"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一、所用 AI 工具名称、版本或型号</w:t>
      </w:r>
    </w:p>
    <w:tbl>
      <w:tblPr>
        <w:tblW w:type="auto" w:w="0"/>
        <w:jc w:val="center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2438"/>
        <w:gridCol w:w="1984"/>
        <w:gridCol w:w="2154"/>
      </w:tblGrid>
      <w:tr>
        <w:trPr>
          <w:cantSplit/>
          <w:tblHeader/>
        </w:trPr>
        <w:tc>
          <w:tcPr>
            <w:tcW w:type="dxa" w:w="567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序号</w:t>
            </w:r>
          </w:p>
        </w:tc>
        <w:tc>
          <w:tcPr>
            <w:tcW w:type="dxa" w:w="187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工具名称</w:t>
            </w:r>
          </w:p>
        </w:tc>
        <w:tc>
          <w:tcPr>
            <w:tcW w:type="dxa" w:w="2438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版本或型号</w:t>
            </w:r>
          </w:p>
        </w:tc>
        <w:tc>
          <w:tcPr>
            <w:tcW w:type="dxa" w:w="1984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使用方式</w:t>
            </w:r>
          </w:p>
        </w:tc>
        <w:tc>
          <w:tcPr>
            <w:tcW w:type="dxa" w:w="2154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1</w:t>
            </w:r>
          </w:p>
        </w:tc>
        <w:tc>
          <w:tcPr>
            <w:tcW w:type="dxa" w:w="187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Codex</w:t>
              <w:br/>
              <w:t>（OpenAI Codex 桌面应用）</w:t>
            </w:r>
          </w:p>
        </w:tc>
        <w:tc>
          <w:tcPr>
            <w:tcW w:type="dxa" w:w="243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会话记录：CLI 0.153.4；模型配置标签：gpt-6-astra</w:t>
            </w:r>
          </w:p>
        </w:tc>
        <w:tc>
          <w:tcPr>
            <w:tcW w:type="dxa" w:w="198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本地桌面代理，执行代码、生成和修订文件</w:t>
            </w:r>
          </w:p>
        </w:tc>
        <w:tc>
          <w:tcPr>
            <w:tcW w:type="dxa" w:w="215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配置标签来自本任务记录；未独立验证服务端实际模型版本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2</w:t>
            </w:r>
          </w:p>
        </w:tc>
        <w:tc>
          <w:tcPr>
            <w:tcW w:type="dxa" w:w="187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math-modeling</w:t>
              <w:br/>
              <w:t>辅助工作流</w:t>
            </w:r>
          </w:p>
        </w:tc>
        <w:tc>
          <w:tcPr>
            <w:tcW w:type="dxa" w:w="243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1.3.0</w:t>
            </w:r>
          </w:p>
        </w:tc>
        <w:tc>
          <w:tcPr>
            <w:tcW w:type="dxa" w:w="198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组织建模、编程、论文及代理质检</w:t>
            </w:r>
          </w:p>
        </w:tc>
        <w:tc>
          <w:tcPr>
            <w:tcW w:type="dxa" w:w="215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这是工作流工具包，不是另一种大语言模型</w:t>
            </w:r>
          </w:p>
        </w:tc>
      </w:tr>
    </w:tbl>
    <w:p>
      <w:pPr>
        <w:keepNext w:val="0"/>
        <w:widowControl/>
        <w:spacing w:line="283" w:lineRule="auto" w:after="0"/>
      </w:pPr>
      <w:r>
        <w:rPr>
          <w:rFonts w:ascii="Times New Roman" w:hAnsi="Times New Roman" w:cs="Times New Roman" w:eastAsia="Songti SC"/>
          <w:b w:val="0"/>
          <w:sz w:val="4"/>
        </w:rPr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0"/>
        </w:rPr>
        <w:t>非 AI 执行环境：Python 3.12.13；NumPy、SciPy 完成数值计算，openpyxl / XlsxWriter 处理电子表，Matplotlib 绘图，python-docx 生成 Word，LibreOffice 26.8.0 实际转换 PDF。</w:t>
      </w:r>
    </w:p>
    <w:p>
      <w:pPr>
        <w:pStyle w:val="Heading1"/>
        <w:keepNext/>
        <w:pageBreakBefore w:val="0"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二、具体使用目的和环节</w:t>
      </w:r>
    </w:p>
    <w:tbl>
      <w:tblPr>
        <w:tblW w:type="auto" w:w="0"/>
        <w:jc w:val="center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  <w:tblLayout w:type="fixed"/>
        <w:tblLook w:firstColumn="1" w:firstRow="1" w:lastColumn="0" w:lastRow="0" w:noHBand="0" w:noVBand="1" w:val="04A0"/>
      </w:tblPr>
      <w:tblGrid>
        <w:gridCol w:w="850"/>
        <w:gridCol w:w="794"/>
        <w:gridCol w:w="1701"/>
        <w:gridCol w:w="3458"/>
        <w:gridCol w:w="2211"/>
      </w:tblGrid>
      <w:tr>
        <w:trPr>
          <w:cantSplit/>
          <w:tblHeader/>
        </w:trPr>
        <w:tc>
          <w:tcPr>
            <w:tcW w:type="dxa" w:w="850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记录编号</w:t>
            </w:r>
          </w:p>
        </w:tc>
        <w:tc>
          <w:tcPr>
            <w:tcW w:type="dxa" w:w="794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AI 工具</w:t>
            </w:r>
          </w:p>
        </w:tc>
        <w:tc>
          <w:tcPr>
            <w:tcW w:type="dxa" w:w="170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使用环节</w:t>
            </w:r>
          </w:p>
        </w:tc>
        <w:tc>
          <w:tcPr>
            <w:tcW w:type="dxa" w:w="3458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具体使用目的</w:t>
            </w:r>
          </w:p>
        </w:tc>
        <w:tc>
          <w:tcPr>
            <w:tcW w:type="dxa" w:w="221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对应论文或材料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A-01</w:t>
            </w:r>
          </w:p>
        </w:tc>
        <w:tc>
          <w:tcPr>
            <w:tcW w:type="dxa" w:w="79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Codex</w:t>
            </w:r>
          </w:p>
        </w:tc>
        <w:tc>
          <w:tcPr>
            <w:tcW w:type="dxa" w:w="170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题意理解与模型构建</w:t>
            </w:r>
          </w:p>
        </w:tc>
        <w:tc>
          <w:tcPr>
            <w:tcW w:type="dxa" w:w="345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梳理四问条件；提出假设，推导热质传递及收缩坐标模型</w:t>
            </w:r>
          </w:p>
        </w:tc>
        <w:tc>
          <w:tcPr>
            <w:tcW w:type="dxa" w:w="221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第1—4章、第8章；题目分析报告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A-02</w:t>
            </w:r>
          </w:p>
        </w:tc>
        <w:tc>
          <w:tcPr>
            <w:tcW w:type="dxa" w:w="79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Codex</w:t>
            </w:r>
          </w:p>
        </w:tc>
        <w:tc>
          <w:tcPr>
            <w:tcW w:type="dxa" w:w="170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编程、求解与数值验证</w:t>
            </w:r>
          </w:p>
        </w:tc>
        <w:tc>
          <w:tcPr>
            <w:tcW w:type="dxa" w:w="345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生成和修订 Python 程序，求解全过程并核查误差与守恒</w:t>
            </w:r>
          </w:p>
        </w:tc>
        <w:tc>
          <w:tcPr>
            <w:tcW w:type="dxa" w:w="221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第4—9章；程序附录；results/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A-03</w:t>
            </w:r>
          </w:p>
        </w:tc>
        <w:tc>
          <w:tcPr>
            <w:tcW w:type="dxa" w:w="79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Codex</w:t>
            </w:r>
          </w:p>
        </w:tc>
        <w:tc>
          <w:tcPr>
            <w:tcW w:type="dxa" w:w="170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图表与结果附件</w:t>
            </w:r>
          </w:p>
        </w:tc>
        <w:tc>
          <w:tcPr>
            <w:tcW w:type="dxa" w:w="345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整理真实计算结果，制作图形并导出四份结果电子表</w:t>
            </w:r>
          </w:p>
        </w:tc>
        <w:tc>
          <w:tcPr>
            <w:tcW w:type="dxa" w:w="221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图1—图12、表1—表10；result1—4.xlsx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A-04</w:t>
            </w:r>
          </w:p>
        </w:tc>
        <w:tc>
          <w:tcPr>
            <w:tcW w:type="dxa" w:w="79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Codex</w:t>
            </w:r>
          </w:p>
        </w:tc>
        <w:tc>
          <w:tcPr>
            <w:tcW w:type="dxa" w:w="170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论文撰写与文档修订</w:t>
            </w:r>
          </w:p>
        </w:tc>
        <w:tc>
          <w:tcPr>
            <w:tcW w:type="dxa" w:w="345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撰写正文，优化摘要，拆分重述与分析，生成 Word / PDF</w:t>
            </w:r>
          </w:p>
        </w:tc>
        <w:tc>
          <w:tcPr>
            <w:tcW w:type="dxa" w:w="221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摘要、第1—10章；本使用记录</w:t>
            </w:r>
          </w:p>
        </w:tc>
      </w:tr>
    </w:tbl>
    <w:p>
      <w:pPr>
        <w:keepNext w:val="0"/>
        <w:widowControl/>
        <w:spacing w:line="283" w:lineRule="auto" w:after="0"/>
      </w:pPr>
      <w:r>
        <w:rPr>
          <w:rFonts w:ascii="Times New Roman" w:hAnsi="Times New Roman" w:cs="Times New Roman" w:eastAsia="Songti SC"/>
          <w:b w:val="0"/>
          <w:sz w:val="4"/>
        </w:rPr>
      </w:r>
    </w:p>
    <w:p>
      <w:pPr>
        <w:pStyle w:val="Heading1"/>
        <w:keepNext/>
        <w:pageBreakBefore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三、主要提示方式与使用过程说明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AI 实际参与了核心模型、代码及文稿的生成；代理之间的独立质检同样属于 AI 检查。以下记录不将其写成参赛队员已完成的人工研究或人工复核。</w:t>
      </w:r>
    </w:p>
    <w:p>
      <w:pPr>
        <w:pStyle w:val="Heading2"/>
        <w:keepNext/>
        <w:pageBreakBefore w:val="0"/>
        <w:widowControl/>
        <w:spacing w:line="283" w:lineRule="auto" w:after="160" w:before="140"/>
      </w:pPr>
      <w:r>
        <w:rPr>
          <w:rFonts w:ascii="Times New Roman" w:hAnsi="Times New Roman" w:cs="Times New Roman" w:eastAsia="Songti SC"/>
          <w:b/>
          <w:sz w:val="23"/>
        </w:rPr>
        <w:t>3.1 使用记录 A-01：题意理解与模型构建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使用目的：</w:t>
      </w:r>
      <w:r>
        <w:rPr>
          <w:rFonts w:ascii="Times New Roman" w:hAnsi="Times New Roman" w:cs="Times New Roman" w:eastAsia="Songti SC"/>
          <w:b w:val="0"/>
          <w:sz w:val="22"/>
        </w:rPr>
        <w:t>识别四问输入、输出和隐含条件，建立可计算的径向热质传递模型。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提供给 AI 的材料：</w:t>
      </w:r>
      <w:r>
        <w:rPr>
          <w:rFonts w:ascii="Times New Roman" w:hAnsi="Times New Roman" w:cs="Times New Roman" w:eastAsia="Songti SC"/>
          <w:b w:val="0"/>
          <w:sz w:val="22"/>
        </w:rPr>
        <w:t>A 题原始题面、环境观测、半径观测、结果模板，以及已核对的官方规则和方法文献。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主要提示方式：</w:t>
      </w:r>
      <w:r>
        <w:rPr>
          <w:rFonts w:ascii="Times New Roman" w:hAnsi="Times New Roman" w:cs="Times New Roman" w:eastAsia="Songti SC"/>
          <w:b w:val="0"/>
          <w:sz w:val="22"/>
        </w:rPr>
        <w:t>用户原文：“选一道好拿奖的 完成”；范围限定：“只搞A题”。代理审查任务摘要：核对各问物性、单位、边界、干基质量定义与长期环境延拓。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使用过程：</w:t>
      </w:r>
      <w:r>
        <w:rPr>
          <w:rFonts w:ascii="Times New Roman" w:hAnsi="Times New Roman" w:cs="Times New Roman" w:eastAsia="Songti SC"/>
          <w:b w:val="0"/>
          <w:sz w:val="22"/>
        </w:rPr>
        <w:t>AI 梳理四问关系，推导中心对称及表面对流边界，选择环带有限体积离散。问题二与三共用同一轨迹，问题四采用材料参考坐标；独立代理对假设与推导提出修正。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AI 输出与采用情况：</w:t>
      </w:r>
      <w:r>
        <w:rPr>
          <w:rFonts w:ascii="Times New Roman" w:hAnsi="Times New Roman" w:cs="Times New Roman" w:eastAsia="Songti SC"/>
          <w:b w:val="0"/>
          <w:sz w:val="22"/>
        </w:rPr>
        <w:t>采用明确的径向、有效显热及两相传质闭合假设；采用绝对温度经验式、PCHIP 半径插值和末1 h环境均值延拓，并在论文保留各项适用限制。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对应位置：</w:t>
      </w:r>
      <w:r>
        <w:rPr>
          <w:rFonts w:ascii="Times New Roman" w:hAnsi="Times New Roman" w:cs="Times New Roman" w:eastAsia="Songti SC"/>
          <w:b w:val="0"/>
          <w:sz w:val="22"/>
        </w:rPr>
        <w:t>论文第1章“问题重述”、第2章“问题分析”、第3—4章及第8章。</w:t>
      </w:r>
    </w:p>
    <w:p>
      <w:pPr>
        <w:pStyle w:val="Heading2"/>
        <w:keepNext/>
        <w:pageBreakBefore w:val="0"/>
        <w:widowControl/>
        <w:spacing w:line="283" w:lineRule="auto" w:after="160" w:before="140"/>
      </w:pPr>
      <w:r>
        <w:rPr>
          <w:rFonts w:ascii="Times New Roman" w:hAnsi="Times New Roman" w:cs="Times New Roman" w:eastAsia="Songti SC"/>
          <w:b/>
          <w:sz w:val="23"/>
        </w:rPr>
        <w:t>3.2 使用记录 A-02：编程、求解与数值验证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使用目的：</w:t>
      </w:r>
      <w:r>
        <w:rPr>
          <w:rFonts w:ascii="Times New Roman" w:hAnsi="Times New Roman" w:cs="Times New Roman" w:eastAsia="Songti SC"/>
          <w:b w:val="0"/>
          <w:sz w:val="22"/>
        </w:rPr>
        <w:t>把模型实现为可运行程序，计算全域严格达标时间并检验数值实现。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提供给 AI 的材料：</w:t>
      </w:r>
      <w:r>
        <w:rPr>
          <w:rFonts w:ascii="Times New Roman" w:hAnsi="Times New Roman" w:cs="Times New Roman" w:eastAsia="Songti SC"/>
          <w:b w:val="0"/>
          <w:sz w:val="22"/>
        </w:rPr>
        <w:t>上述模型、原始附件、真实运行日志及误差记录。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主要提示方式：</w:t>
      </w:r>
      <w:r>
        <w:rPr>
          <w:rFonts w:ascii="Times New Roman" w:hAnsi="Times New Roman" w:cs="Times New Roman" w:eastAsia="Songti SC"/>
          <w:b w:val="0"/>
          <w:sz w:val="22"/>
        </w:rPr>
        <w:t>用户原文：“a 搞好”“给我要提交的产物。”代理任务摘要：从原始附件复算，核对解析特例、网格加密、时间容差、全域阈值和通量平衡。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使用过程：</w:t>
      </w:r>
      <w:r>
        <w:rPr>
          <w:rFonts w:ascii="Times New Roman" w:hAnsi="Times New Roman" w:cs="Times New Roman" w:eastAsia="Songti SC"/>
          <w:b w:val="0"/>
          <w:sz w:val="22"/>
        </w:rPr>
        <w:t>AI 编写并运行 Python 求解器，修订局部物性及稀疏雅可比，比较40至1280区间的收敛结果；另由独立代理重新计算并核对输出。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AI 输出与采用情况：</w:t>
      </w:r>
      <w:r>
        <w:rPr>
          <w:rFonts w:ascii="Times New Roman" w:hAnsi="Times New Roman" w:cs="Times New Roman" w:eastAsia="Songti SC"/>
          <w:b w:val="0"/>
          <w:sz w:val="22"/>
        </w:rPr>
        <w:t>采用1280区间结果；第三、四问严格整秒终点分别为206958 s和183926 s。均为所设模型和环境延拓下的计算值，不是实测烘干时长。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对应位置：</w:t>
      </w:r>
      <w:r>
        <w:rPr>
          <w:rFonts w:ascii="Times New Roman" w:hAnsi="Times New Roman" w:cs="Times New Roman" w:eastAsia="Songti SC"/>
          <w:b w:val="0"/>
          <w:sz w:val="22"/>
        </w:rPr>
        <w:t>第4—9章；数值求解及复现程序、完整程序附录；results/summary.json。</w:t>
      </w:r>
    </w:p>
    <w:p>
      <w:pPr>
        <w:pStyle w:val="Heading2"/>
        <w:keepNext/>
        <w:pageBreakBefore/>
        <w:widowControl/>
        <w:spacing w:line="283" w:lineRule="auto" w:after="160" w:before="140"/>
      </w:pPr>
      <w:r>
        <w:rPr>
          <w:rFonts w:ascii="Times New Roman" w:hAnsi="Times New Roman" w:cs="Times New Roman" w:eastAsia="Songti SC"/>
          <w:b/>
          <w:sz w:val="23"/>
        </w:rPr>
        <w:t>3.3 使用记录 A-03：图表与结果附件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使用目的：</w:t>
      </w:r>
      <w:r>
        <w:rPr>
          <w:rFonts w:ascii="Times New Roman" w:hAnsi="Times New Roman" w:cs="Times New Roman" w:eastAsia="Songti SC"/>
          <w:b w:val="0"/>
          <w:sz w:val="22"/>
        </w:rPr>
        <w:t>把实际求解轨迹转换成可核对的图、表及指定格式的电子附件。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提供给 AI 的材料：</w:t>
      </w:r>
      <w:r>
        <w:rPr>
          <w:rFonts w:ascii="Times New Roman" w:hAnsi="Times New Roman" w:cs="Times New Roman" w:eastAsia="Songti SC"/>
          <w:b w:val="0"/>
          <w:sz w:val="22"/>
        </w:rPr>
        <w:t>求解结果 JSON、全过程数值轨迹、题目所附 Excel 模板和绘图要求。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主要提示方式：</w:t>
      </w:r>
      <w:r>
        <w:rPr>
          <w:rFonts w:ascii="Times New Roman" w:hAnsi="Times New Roman" w:cs="Times New Roman" w:eastAsia="Songti SC"/>
          <w:b w:val="0"/>
          <w:sz w:val="22"/>
        </w:rPr>
        <w:t>代理任务摘要：按四问覆盖原始数据、计算过程和结果，核对坐标、单位、图注及输出网格；该句为任务归纳，不冒充用户逐字输入。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使用过程：</w:t>
      </w:r>
      <w:r>
        <w:rPr>
          <w:rFonts w:ascii="Times New Roman" w:hAnsi="Times New Roman" w:cs="Times New Roman" w:eastAsia="Songti SC"/>
          <w:b w:val="0"/>
          <w:sz w:val="22"/>
        </w:rPr>
        <w:t>AI 用 Matplotlib 绘图并实际读图检查，导出彩色、灰度及矢量文件；逐项核对四个 Excel 的时间、半径采样和实际数值。收缩域外位置留空，保留当时表面与半径。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AI 输出与采用情况：</w:t>
      </w:r>
      <w:r>
        <w:rPr>
          <w:rFonts w:ascii="Times New Roman" w:hAnsi="Times New Roman" w:cs="Times New Roman" w:eastAsia="Songti SC"/>
          <w:b w:val="0"/>
          <w:sz w:val="22"/>
        </w:rPr>
        <w:t>共生成13组逻辑图形，论文采用12幅；正文10张表来自实际结果。result1—4.xlsx 均保留完整规定时段，第二问逐秒数据未截短。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对应位置：</w:t>
      </w:r>
      <w:r>
        <w:rPr>
          <w:rFonts w:ascii="Times New Roman" w:hAnsi="Times New Roman" w:cs="Times New Roman" w:eastAsia="Songti SC"/>
          <w:b w:val="0"/>
          <w:sz w:val="22"/>
        </w:rPr>
        <w:t>论文图1—图12、表1—表10；figures/；results/result1.xlsx 至 result4.xlsx。</w:t>
      </w:r>
    </w:p>
    <w:p>
      <w:pPr>
        <w:pStyle w:val="Heading2"/>
        <w:keepNext/>
        <w:pageBreakBefore w:val="0"/>
        <w:widowControl/>
        <w:spacing w:line="283" w:lineRule="auto" w:after="160" w:before="140"/>
      </w:pPr>
      <w:r>
        <w:rPr>
          <w:rFonts w:ascii="Times New Roman" w:hAnsi="Times New Roman" w:cs="Times New Roman" w:eastAsia="Songti SC"/>
          <w:b/>
          <w:sz w:val="23"/>
        </w:rPr>
        <w:t>3.4 使用记录 A-04：论文撰写与文档修订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使用目的：</w:t>
      </w:r>
      <w:r>
        <w:rPr>
          <w:rFonts w:ascii="Times New Roman" w:hAnsi="Times New Roman" w:cs="Times New Roman" w:eastAsia="Songti SC"/>
          <w:b w:val="0"/>
          <w:sz w:val="22"/>
        </w:rPr>
        <w:t>将模型及真实结果写成完整论文，并按用户意见改进摘要、章节与 AI 使用记录。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提供给 AI 的材料：</w:t>
      </w:r>
      <w:r>
        <w:rPr>
          <w:rFonts w:ascii="Times New Roman" w:hAnsi="Times New Roman" w:cs="Times New Roman" w:eastAsia="Songti SC"/>
          <w:b w:val="0"/>
          <w:sz w:val="22"/>
        </w:rPr>
        <w:t>题目、模型报告、计算结果、官方格式要求；用户提供的三张 AI 使用详情示例及三项修改意见截图。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主要提示方式：</w:t>
      </w:r>
      <w:r>
        <w:rPr>
          <w:rFonts w:ascii="Times New Roman" w:hAnsi="Times New Roman" w:cs="Times New Roman" w:eastAsia="Songti SC"/>
          <w:b w:val="0"/>
          <w:sz w:val="22"/>
        </w:rPr>
        <w:t>用户原文：“除了pdf，要加上word版本”“别加水印了”。后续要求补足摘要第一、二问，单独说明第四问，并将“问题重述”和“问题分析”分开。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使用过程：</w:t>
      </w:r>
      <w:r>
        <w:rPr>
          <w:rFonts w:ascii="Times New Roman" w:hAnsi="Times New Roman" w:cs="Times New Roman" w:eastAsia="Songti SC"/>
          <w:b w:val="0"/>
          <w:sz w:val="22"/>
        </w:rPr>
        <w:t>AI 撰写和修订正文，生成可编辑原生公式、图表及完整程序附录；逐项绑定结果文件，实际转换 PDF 并检查分页。本轮依照示例重组本记录，不复制示例的工具版本、题号或人工核验结论。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AI 输出与采用情况：</w:t>
      </w:r>
      <w:r>
        <w:rPr>
          <w:rFonts w:ascii="Times New Roman" w:hAnsi="Times New Roman" w:cs="Times New Roman" w:eastAsia="Songti SC"/>
          <w:b w:val="0"/>
          <w:sz w:val="22"/>
        </w:rPr>
        <w:t>摘要按四问分别成段；第1、2章独立设置；Word 与 PDF 同步更新且不加水印。用户提出修改方向，具体文字及排版由 AI 执行。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</w:r>
      <w:r>
        <w:rPr>
          <w:rFonts w:ascii="Times New Roman" w:hAnsi="Times New Roman" w:cs="Times New Roman" w:eastAsia="Songti SC"/>
          <w:b/>
          <w:sz w:val="22"/>
        </w:rPr>
        <w:t>对应位置：</w:t>
      </w:r>
      <w:r>
        <w:rPr>
          <w:rFonts w:ascii="Times New Roman" w:hAnsi="Times New Roman" w:cs="Times New Roman" w:eastAsia="Songti SC"/>
          <w:b w:val="0"/>
          <w:sz w:val="22"/>
        </w:rPr>
        <w:t>完整论文.docx / .pdf、公开论文阅读版及本 AI 工具使用详情。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以上记录涵盖模型提出、数值实现及论文生成的实际参与范围。数值检查属于实现验证，不能替代真实药材试验，也不能据此确认队员已理解全部模型。</w:t>
      </w:r>
    </w:p>
    <w:p>
      <w:pPr>
        <w:pStyle w:val="Heading1"/>
        <w:keepNext/>
        <w:pageBreakBefore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四、AI 输出的采纳、人工修改和核验情况</w:t>
      </w:r>
    </w:p>
    <w:tbl>
      <w:tblPr>
        <w:tblW w:type="auto" w:w="0"/>
        <w:jc w:val="center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2891"/>
        <w:gridCol w:w="3061"/>
      </w:tblGrid>
      <w:tr>
        <w:trPr>
          <w:cantSplit/>
          <w:tblHeader/>
        </w:trPr>
        <w:tc>
          <w:tcPr>
            <w:tcW w:type="dxa" w:w="680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记录</w:t>
            </w:r>
          </w:p>
        </w:tc>
        <w:tc>
          <w:tcPr>
            <w:tcW w:type="dxa" w:w="238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主要输出与采纳</w:t>
            </w:r>
          </w:p>
        </w:tc>
        <w:tc>
          <w:tcPr>
            <w:tcW w:type="dxa" w:w="289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人工修改的实际情况</w:t>
            </w:r>
          </w:p>
        </w:tc>
        <w:tc>
          <w:tcPr>
            <w:tcW w:type="dxa" w:w="306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已执行的技术核验</w:t>
            </w:r>
          </w:p>
        </w:tc>
      </w:tr>
      <w:tr>
        <w:trPr>
          <w:cantSplit/>
        </w:trPr>
        <w:tc>
          <w:tcPr>
            <w:tcW w:type="dxa" w:w="68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A-01</w:t>
            </w:r>
          </w:p>
        </w:tc>
        <w:tc>
          <w:tcPr>
            <w:tcW w:type="dxa" w:w="238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模型、假设与推导；经代理审查修正后采用</w:t>
            </w:r>
          </w:p>
        </w:tc>
        <w:tc>
          <w:tcPr>
            <w:tcW w:type="dxa" w:w="289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用户限定只做 A 题；未收到队员独立推导或逐项人工复核完成记录</w:t>
            </w:r>
          </w:p>
        </w:tc>
        <w:tc>
          <w:tcPr>
            <w:tcW w:type="dxa" w:w="306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代理逐项核对原题、单位、边界及收缩极限情形；局限在正文列明</w:t>
            </w:r>
          </w:p>
        </w:tc>
      </w:tr>
      <w:tr>
        <w:trPr>
          <w:cantSplit/>
        </w:trPr>
        <w:tc>
          <w:tcPr>
            <w:tcW w:type="dxa" w:w="68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A-02</w:t>
            </w:r>
          </w:p>
        </w:tc>
        <w:tc>
          <w:tcPr>
            <w:tcW w:type="dxa" w:w="238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求解程序及结果；采用实际运行版本</w:t>
            </w:r>
          </w:p>
        </w:tc>
        <w:tc>
          <w:tcPr>
            <w:tcW w:type="dxa" w:w="289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具体程序修订由 AI 执行；队员人工检查尚未确认</w:t>
            </w:r>
          </w:p>
        </w:tc>
        <w:tc>
          <w:tcPr>
            <w:tcW w:type="dxa" w:w="306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独立复算；解析特例、空间及时间加密、干基平衡和阈值核对</w:t>
            </w:r>
          </w:p>
        </w:tc>
      </w:tr>
      <w:tr>
        <w:trPr>
          <w:cantSplit/>
        </w:trPr>
        <w:tc>
          <w:tcPr>
            <w:tcW w:type="dxa" w:w="68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A-03</w:t>
            </w:r>
          </w:p>
        </w:tc>
        <w:tc>
          <w:tcPr>
            <w:tcW w:type="dxa" w:w="238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12幅论文图、10张表及四个电子表；采用</w:t>
            </w:r>
          </w:p>
        </w:tc>
        <w:tc>
          <w:tcPr>
            <w:tcW w:type="dxa" w:w="289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图表修订由 AI 执行；未把 AI 读图称为人工读图</w:t>
            </w:r>
          </w:p>
        </w:tc>
        <w:tc>
          <w:tcPr>
            <w:tcW w:type="dxa" w:w="306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与真实结果逐项对应；核对单位、采样、域外空值及实际渲染</w:t>
            </w:r>
          </w:p>
        </w:tc>
      </w:tr>
      <w:tr>
        <w:trPr>
          <w:cantSplit/>
        </w:trPr>
        <w:tc>
          <w:tcPr>
            <w:tcW w:type="dxa" w:w="68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A-04</w:t>
            </w:r>
          </w:p>
        </w:tc>
        <w:tc>
          <w:tcPr>
            <w:tcW w:type="dxa" w:w="238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论文与本记录；按反馈更新</w:t>
            </w:r>
          </w:p>
        </w:tc>
        <w:tc>
          <w:tcPr>
            <w:tcW w:type="dxa" w:w="289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用户提出摘要、章节、文档格式意见；由 AI 落实，未确认队员最终审阅</w:t>
            </w:r>
          </w:p>
        </w:tc>
        <w:tc>
          <w:tcPr>
            <w:tcW w:type="dxa" w:w="306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Word 结构、实际 PDF 分页、公式图表、文件一致性和元数据检查</w:t>
            </w:r>
          </w:p>
        </w:tc>
      </w:tr>
    </w:tbl>
    <w:p>
      <w:pPr>
        <w:keepNext w:val="0"/>
        <w:widowControl/>
        <w:spacing w:line="283" w:lineRule="auto" w:after="0"/>
      </w:pPr>
      <w:r>
        <w:rPr>
          <w:rFonts w:ascii="Times New Roman" w:hAnsi="Times New Roman" w:cs="Times New Roman" w:eastAsia="Songti SC"/>
          <w:b w:val="0"/>
          <w:sz w:val="4"/>
        </w:rPr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截至本记录更新，尚未收到参赛队员对模型、代码与论文逐项理解、修改及最终责任确认的反馈。代理检查通过与人工复核完成是不同状态。本记录不虚构人工修改、队员签名或提交回执。</w:t>
      </w:r>
    </w:p>
    <w:p>
      <w:pPr>
        <w:pStyle w:val="Heading1"/>
        <w:keepNext/>
        <w:pageBreakBefore w:val="0"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五、典型交互示例</w:t>
      </w:r>
    </w:p>
    <w:tbl>
      <w:tblPr>
        <w:tblW w:type="auto" w:w="0"/>
        <w:jc w:val="center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  <w:tblLayout w:type="fixed"/>
        <w:tblLook w:firstColumn="1" w:firstRow="1" w:lastColumn="0" w:lastRow="0" w:noHBand="0" w:noVBand="1" w:val="04A0"/>
      </w:tblPr>
      <w:tblGrid>
        <w:gridCol w:w="624"/>
        <w:gridCol w:w="737"/>
        <w:gridCol w:w="3515"/>
        <w:gridCol w:w="2551"/>
        <w:gridCol w:w="1587"/>
      </w:tblGrid>
      <w:tr>
        <w:trPr>
          <w:cantSplit/>
          <w:tblHeader/>
        </w:trPr>
        <w:tc>
          <w:tcPr>
            <w:tcW w:type="dxa" w:w="624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示例</w:t>
            </w:r>
          </w:p>
        </w:tc>
        <w:tc>
          <w:tcPr>
            <w:tcW w:type="dxa" w:w="737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记录</w:t>
            </w:r>
          </w:p>
        </w:tc>
        <w:tc>
          <w:tcPr>
            <w:tcW w:type="dxa" w:w="3515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真实输入或反馈</w:t>
            </w:r>
          </w:p>
        </w:tc>
        <w:tc>
          <w:tcPr>
            <w:tcW w:type="dxa" w:w="2551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AI 关键输出</w:t>
            </w:r>
          </w:p>
        </w:tc>
        <w:tc>
          <w:tcPr>
            <w:tcW w:type="dxa" w:w="1587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后续处理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E-01</w:t>
            </w:r>
          </w:p>
        </w:tc>
        <w:tc>
          <w:tcPr>
            <w:tcW w:type="dxa" w:w="73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A-01</w:t>
            </w:r>
          </w:p>
        </w:tc>
        <w:tc>
          <w:tcPr>
            <w:tcW w:type="dxa" w:w="351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“只搞A题”</w:t>
            </w:r>
          </w:p>
        </w:tc>
        <w:tc>
          <w:tcPr>
            <w:tcW w:type="dxa" w:w="255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四问的条件、模型与求解关系</w:t>
            </w:r>
          </w:p>
        </w:tc>
        <w:tc>
          <w:tcPr>
            <w:tcW w:type="dxa" w:w="158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限定 A 题完成建模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E-02</w:t>
            </w:r>
          </w:p>
        </w:tc>
        <w:tc>
          <w:tcPr>
            <w:tcW w:type="dxa" w:w="73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A-02</w:t>
              <w:br/>
              <w:t>A-03</w:t>
            </w:r>
          </w:p>
        </w:tc>
        <w:tc>
          <w:tcPr>
            <w:tcW w:type="dxa" w:w="351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“给我要提交的产物。”</w:t>
            </w:r>
          </w:p>
        </w:tc>
        <w:tc>
          <w:tcPr>
            <w:tcW w:type="dxa" w:w="255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计算结果、四个电子表及材料包</w:t>
            </w:r>
          </w:p>
        </w:tc>
        <w:tc>
          <w:tcPr>
            <w:tcW w:type="dxa" w:w="158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运行并核对文件；不等于已经提交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E-03</w:t>
            </w:r>
          </w:p>
        </w:tc>
        <w:tc>
          <w:tcPr>
            <w:tcW w:type="dxa" w:w="73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A-04</w:t>
            </w:r>
          </w:p>
        </w:tc>
        <w:tc>
          <w:tcPr>
            <w:tcW w:type="dxa" w:w="351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“针对问题一和二太短了，而且问题四也没有和前后区分开来?”</w:t>
            </w:r>
          </w:p>
        </w:tc>
        <w:tc>
          <w:tcPr>
            <w:tcW w:type="dxa" w:w="255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四问分别成段的摘要，补足一、二问方法与结果</w:t>
            </w:r>
          </w:p>
        </w:tc>
        <w:tc>
          <w:tcPr>
            <w:tcW w:type="dxa" w:w="158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与现有数值对应后修订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E-04</w:t>
            </w:r>
          </w:p>
        </w:tc>
        <w:tc>
          <w:tcPr>
            <w:tcW w:type="dxa" w:w="73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A-04</w:t>
            </w:r>
          </w:p>
        </w:tc>
        <w:tc>
          <w:tcPr>
            <w:tcW w:type="dxa" w:w="351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“像之前这样问题重述和问题分析分开来”</w:t>
            </w:r>
          </w:p>
        </w:tc>
        <w:tc>
          <w:tcPr>
            <w:tcW w:type="dxa" w:w="255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独立的第1章“问题重述”和第2章“问题分析”</w:t>
            </w:r>
          </w:p>
        </w:tc>
        <w:tc>
          <w:tcPr>
            <w:tcW w:type="dxa" w:w="158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同步后续章号及文内引用</w:t>
            </w:r>
          </w:p>
        </w:tc>
      </w:tr>
    </w:tbl>
    <w:p>
      <w:pPr>
        <w:keepNext w:val="0"/>
        <w:widowControl/>
        <w:spacing w:line="283" w:lineRule="auto" w:after="0"/>
      </w:pPr>
      <w:r>
        <w:rPr>
          <w:rFonts w:ascii="Times New Roman" w:hAnsi="Times New Roman" w:cs="Times New Roman" w:eastAsia="Songti SC"/>
          <w:b w:val="0"/>
          <w:sz w:val="4"/>
        </w:rPr>
      </w:r>
    </w:p>
    <w:p>
      <w:pPr>
        <w:pStyle w:val="Heading1"/>
        <w:keepNext/>
        <w:pageBreakBefore/>
        <w:widowControl/>
        <w:spacing w:line="283" w:lineRule="auto" w:after="160" w:before="200"/>
      </w:pPr>
      <w:r>
        <w:rPr>
          <w:rFonts w:ascii="Times New Roman" w:hAnsi="Times New Roman" w:cs="Times New Roman" w:eastAsia="Songti SC"/>
          <w:b/>
          <w:sz w:val="26"/>
        </w:rPr>
        <w:t>六、提交前检查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2"/>
        </w:rPr>
        <w:t>技术检查项目与队员责任分别记录，不能把本表理解为全部提交条件已满足。</w:t>
      </w:r>
    </w:p>
    <w:tbl>
      <w:tblPr>
        <w:tblW w:type="auto" w:w="0"/>
        <w:jc w:val="center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200"/>
      </w:tblGrid>
      <w:tr>
        <w:trPr>
          <w:cantSplit/>
          <w:tblHeader/>
        </w:trPr>
        <w:tc>
          <w:tcPr>
            <w:tcW w:type="dxa" w:w="1814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项目</w:t>
            </w:r>
          </w:p>
        </w:tc>
        <w:tc>
          <w:tcPr>
            <w:tcW w:type="dxa" w:w="7200"/>
            <w:shd w:val="clear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20"/>
              </w:rPr>
              <w:t>当前记录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内容与来源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本文件包含工具信息、用途、过程、采纳及核验记录；模型标签依据会话配置，未声称独立验证服务端模型。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题号与对应关系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2026年 A 题共四问；记录 A-01—A-04 与论文和结果附件对应，不套用示例中25A题号及图表数量。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正文 AI 声明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声明位于参考文献之前，说明 AI 对模型、代码和论文的深度参与，以及人工复核尚未确认的状态。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数值结论范围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第三、四问时长依赖4 h之后的环境延拓；数值收敛与守恒检查不等于真实预测误差已知。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文件与排版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本记录输出为 AI工具使用详情.docx 与 AI工具使用详情.pdf；技术验收以实际渲染和核验记录为准。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身份及修改痕迹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文档不填写队员、学校、账号或联系方式，不含密钥、签名和虚构承诺；不加水印。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队员最终复核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尚未确认完成。应由队员理解并核对核心模型、程序、数值、引用与真实 AI 使用范围，补充实际人工修订记录。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比赛提交状态</w:t>
            </w:r>
          </w:p>
        </w:tc>
        <w:tc>
          <w:tcPr>
            <w:tcW w:type="dxa" w:w="7200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 w:val="0"/>
              <w:spacing w:line="269" w:lineRule="auto" w:after="0"/>
            </w:pPr>
            <w:r>
              <w:rPr>
                <w:rFonts w:ascii="Times New Roman" w:hAnsi="Times New Roman" w:cs="Times New Roman" w:eastAsia="Songti SC"/>
                <w:b w:val="0"/>
                <w:sz w:val="20"/>
              </w:rPr>
              <w:t>本文件及材料生成不构成上传成功或比赛提交回执；最终提交须由队员依据当届规则完成。</w:t>
            </w:r>
          </w:p>
        </w:tc>
      </w:tr>
    </w:tbl>
    <w:p>
      <w:pPr>
        <w:keepNext w:val="0"/>
        <w:widowControl/>
        <w:spacing w:line="283" w:lineRule="auto" w:after="0"/>
      </w:pPr>
      <w:r>
        <w:rPr>
          <w:rFonts w:ascii="Times New Roman" w:hAnsi="Times New Roman" w:cs="Times New Roman" w:eastAsia="Songti SC"/>
          <w:b w:val="0"/>
          <w:sz w:val="4"/>
        </w:rPr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规则依据：《全国大学生数学建模竞赛人工智能工具使用规定（2026年试行）》，全国大学生数学建模竞赛官方网站；已核对日期：2026年9月10日。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19"/>
        </w:rPr>
        <w:t>https://www.mcm.edu.cn/html_cn/node/fef94648f2836ab6cc81586f4c38512b.html</w:t>
      </w:r>
    </w:p>
    <w:p>
      <w:pPr>
        <w:keepNext w:val="0"/>
        <w:widowControl/>
        <w:spacing w:line="283" w:lineRule="auto" w:after="100"/>
      </w:pPr>
      <w:r>
        <w:rPr>
          <w:rFonts w:ascii="Times New Roman" w:hAnsi="Times New Roman" w:cs="Times New Roman" w:eastAsia="Songti SC"/>
          <w:b w:val="0"/>
          <w:sz w:val="21"/>
        </w:rPr>
        <w:t>后续如发生人工修订，应补充实际日期、修改内容与理由，并保留原始 AI 参与记录。</w:t>
      </w:r>
    </w:p>
    <w:sectPr w:rsidR="00FC693F" w:rsidRPr="0006063C" w:rsidSect="00034616">
      <w:footerReference w:type="default" r:id="rId9"/>
      <w:pgSz w:w="11906" w:h="16838"/>
      <w:pgMar w:top="1423" w:right="1423" w:bottom="1423" w:left="1423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</dc:title>
  <dc:subject>2026年A题参考材料的实际AI参与记录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