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77" w:rsidRPr="00FE6077" w:rsidRDefault="00FE6077">
      <w:pPr>
        <w:rPr>
          <w:b/>
        </w:rPr>
      </w:pPr>
      <w:r w:rsidRPr="00A6175B">
        <w:rPr>
          <w:b/>
        </w:rPr>
        <w:t>Assignment #2: RNA-seq for Gene Expression Analyses</w:t>
      </w:r>
      <w:r>
        <w:rPr>
          <w:b/>
        </w:rPr>
        <w:tab/>
      </w:r>
      <w:r>
        <w:rPr>
          <w:b/>
        </w:rPr>
        <w:tab/>
        <w:t xml:space="preserve">        P/BIO 381</w:t>
      </w:r>
    </w:p>
    <w:p w:rsidR="003E5A54" w:rsidRDefault="00431BEA">
      <w:r w:rsidRPr="00BE587F">
        <w:rPr>
          <w:b/>
        </w:rPr>
        <w:t>Introduction</w:t>
      </w:r>
      <w:r>
        <w:t xml:space="preserve">: </w:t>
      </w:r>
      <w:r w:rsidR="003E5A54">
        <w:t xml:space="preserve">The aim of this assignment was to </w:t>
      </w:r>
      <w:r w:rsidR="00EF30B2">
        <w:t xml:space="preserve">use R package DESeq2 to </w:t>
      </w:r>
      <w:r w:rsidR="004A4A10">
        <w:t>identify differential patterns of</w:t>
      </w:r>
      <w:r w:rsidR="00EF30B2">
        <w:t xml:space="preserve"> gene expression among </w:t>
      </w:r>
      <w:r w:rsidR="00BE587F">
        <w:t xml:space="preserve">samples taken from </w:t>
      </w:r>
      <w:r w:rsidR="00EF30B2">
        <w:t xml:space="preserve">healthy and </w:t>
      </w:r>
      <w:r w:rsidR="00BE587F">
        <w:t>sick</w:t>
      </w:r>
      <w:r w:rsidR="004A4A10">
        <w:t xml:space="preserve"> </w:t>
      </w:r>
      <w:r w:rsidR="003E5A54" w:rsidRPr="003E5A54">
        <w:rPr>
          <w:i/>
        </w:rPr>
        <w:t>Pisaster ochraceus</w:t>
      </w:r>
      <w:r w:rsidR="004E5FAC">
        <w:rPr>
          <w:vertAlign w:val="superscript"/>
        </w:rPr>
        <w:t>1</w:t>
      </w:r>
      <w:proofErr w:type="gramStart"/>
      <w:r w:rsidR="004E5FAC">
        <w:rPr>
          <w:vertAlign w:val="superscript"/>
        </w:rPr>
        <w:t>,2</w:t>
      </w:r>
      <w:proofErr w:type="gramEnd"/>
      <w:r w:rsidR="00BC2CF3">
        <w:t xml:space="preserve">. </w:t>
      </w:r>
      <w:r w:rsidR="00EF30B2">
        <w:t>DESeq2 uses</w:t>
      </w:r>
      <w:r w:rsidR="00BE587F">
        <w:t xml:space="preserve"> the number of reads that map</w:t>
      </w:r>
      <w:r w:rsidR="00EF30B2">
        <w:t xml:space="preserve"> to each </w:t>
      </w:r>
      <w:proofErr w:type="spellStart"/>
      <w:r w:rsidR="00EF30B2">
        <w:t>contig</w:t>
      </w:r>
      <w:proofErr w:type="spellEnd"/>
      <w:r w:rsidR="00EF30B2">
        <w:t xml:space="preserve">, in each sample, as a measure of gene expression. Genes with higher read counts are considered to be upregulated, while </w:t>
      </w:r>
      <w:r w:rsidR="000A1648">
        <w:t>genes with lower read counts are downregulated. This analysis allows for the comparison of gene expression pa</w:t>
      </w:r>
      <w:r w:rsidR="00BE587F">
        <w:t>tterns in samples taken from healthy versus sick</w:t>
      </w:r>
      <w:r w:rsidR="000A1648">
        <w:t xml:space="preserve"> individuals. Through this analysis, it is also possible to identify specific genes that are highly differentially expressed. This information</w:t>
      </w:r>
      <w:r w:rsidR="00BE587F">
        <w:t xml:space="preserve"> can be used to identify</w:t>
      </w:r>
      <w:r w:rsidR="000A1648">
        <w:t xml:space="preserve"> associated functions of orthologous genes, </w:t>
      </w:r>
      <w:r w:rsidR="00BC2CF3">
        <w:t>providing insi</w:t>
      </w:r>
      <w:r w:rsidR="00BE587F">
        <w:t>ght into the potential</w:t>
      </w:r>
      <w:r w:rsidR="00BC2CF3">
        <w:t xml:space="preserve"> mechanisms of host response to sea star wasting disease.</w:t>
      </w:r>
      <w:r w:rsidR="003E5A54">
        <w:t xml:space="preserve"> </w:t>
      </w:r>
    </w:p>
    <w:p w:rsidR="004A4A10" w:rsidRDefault="00431BEA">
      <w:r w:rsidRPr="00BE587F">
        <w:rPr>
          <w:b/>
        </w:rPr>
        <w:t>Methods</w:t>
      </w:r>
      <w:r>
        <w:t>:</w:t>
      </w:r>
      <w:r w:rsidR="004A4A10">
        <w:t xml:space="preserve"> </w:t>
      </w:r>
      <w:r w:rsidR="00552A1C">
        <w:t xml:space="preserve">We assessed the quality of raw RNA-seq data using </w:t>
      </w:r>
      <w:proofErr w:type="spellStart"/>
      <w:r w:rsidR="00552A1C">
        <w:t>fastqc</w:t>
      </w:r>
      <w:proofErr w:type="spellEnd"/>
      <w:r w:rsidR="00552A1C">
        <w:t xml:space="preserve">, and cleaned our raw reads using </w:t>
      </w:r>
      <w:proofErr w:type="spellStart"/>
      <w:r w:rsidR="00552A1C">
        <w:t>Trimmomatic</w:t>
      </w:r>
      <w:proofErr w:type="spellEnd"/>
      <w:r w:rsidR="00552A1C">
        <w:t xml:space="preserve">. After removing adapters and low quality bases from our file, we again evaluated the quality using </w:t>
      </w:r>
      <w:proofErr w:type="spellStart"/>
      <w:r w:rsidR="00552A1C">
        <w:t>fastqc</w:t>
      </w:r>
      <w:proofErr w:type="spellEnd"/>
      <w:r w:rsidR="00552A1C">
        <w:t xml:space="preserve">. We then assembled a de </w:t>
      </w:r>
      <w:r w:rsidR="00C43C20">
        <w:t xml:space="preserve">novo transcriptome using </w:t>
      </w:r>
      <w:proofErr w:type="spellStart"/>
      <w:r w:rsidR="00C43C20">
        <w:t>fastq</w:t>
      </w:r>
      <w:proofErr w:type="spellEnd"/>
      <w:r w:rsidR="00C43C20">
        <w:t xml:space="preserve"> files from four</w:t>
      </w:r>
      <w:r w:rsidR="00552A1C">
        <w:t xml:space="preserve"> sea star</w:t>
      </w:r>
      <w:r w:rsidR="00C43C20">
        <w:t>s (both sick and healthy)</w:t>
      </w:r>
      <w:r w:rsidR="00552A1C">
        <w:t>. Clean reads were mapped to our reference transcriptome, producing sequence alignment files. Count data, for the number of reads that map</w:t>
      </w:r>
      <w:r w:rsidR="00C43C20">
        <w:t>ped</w:t>
      </w:r>
      <w:r w:rsidR="00552A1C">
        <w:t xml:space="preserve"> to each </w:t>
      </w:r>
      <w:proofErr w:type="spellStart"/>
      <w:r w:rsidR="00552A1C">
        <w:t>contig</w:t>
      </w:r>
      <w:proofErr w:type="spellEnd"/>
      <w:r w:rsidR="00552A1C">
        <w:t>,</w:t>
      </w:r>
      <w:r w:rsidR="00C43C20">
        <w:t xml:space="preserve"> were</w:t>
      </w:r>
      <w:r w:rsidR="00552A1C">
        <w:t xml:space="preserve"> extracted from our sequence alignment files.</w:t>
      </w:r>
      <w:r w:rsidR="00C43C20">
        <w:t xml:space="preserve"> These count data were used for differential expression analysis in DESeq2. For my analysis of diffe</w:t>
      </w:r>
      <w:r w:rsidR="00B6323B">
        <w:t>rential gene expression I</w:t>
      </w:r>
      <w:r w:rsidR="00C43C20">
        <w:t xml:space="preserve"> compared gene expression among </w:t>
      </w:r>
      <w:r w:rsidR="00BE587F">
        <w:t xml:space="preserve">samples from </w:t>
      </w:r>
      <w:r w:rsidR="00B6323B">
        <w:t>healthy and sick intertidal individuals,</w:t>
      </w:r>
      <w:r w:rsidR="00C43C20">
        <w:t xml:space="preserve"> healthy and sick </w:t>
      </w:r>
      <w:r w:rsidR="00B6323B">
        <w:t xml:space="preserve">subtidal </w:t>
      </w:r>
      <w:r w:rsidR="00C43C20">
        <w:t>individual</w:t>
      </w:r>
      <w:r w:rsidR="00B6323B">
        <w:t xml:space="preserve">s, and healthy and sick individuals, </w:t>
      </w:r>
      <w:r w:rsidR="00C43C20">
        <w:t xml:space="preserve">while controlling for </w:t>
      </w:r>
      <w:r w:rsidR="00B6323B">
        <w:t xml:space="preserve">location of collection. </w:t>
      </w:r>
    </w:p>
    <w:p w:rsidR="00B06EE8" w:rsidRDefault="00431BEA">
      <w:r w:rsidRPr="00BE587F">
        <w:rPr>
          <w:b/>
        </w:rPr>
        <w:t>Results</w:t>
      </w:r>
      <w:r>
        <w:t>:</w:t>
      </w:r>
      <w:r w:rsidR="004E5FAC">
        <w:t xml:space="preserve"> The analysis of differential expression in </w:t>
      </w:r>
      <w:r w:rsidR="00BE587F">
        <w:t xml:space="preserve">samples taken from </w:t>
      </w:r>
      <w:r w:rsidR="004E5FAC">
        <w:t>healthy and sick intertidal individuals resulted in 205 significantly upregulated, and 37 significantly downregulated genes (</w:t>
      </w:r>
      <w:r w:rsidR="00FE6077">
        <w:t>Table 1)</w:t>
      </w:r>
      <w:r w:rsidR="004E5FAC">
        <w:t xml:space="preserve">. </w:t>
      </w:r>
      <w:r w:rsidR="00BE587F">
        <w:t>Analysis of</w:t>
      </w:r>
      <w:r w:rsidR="004E5FAC">
        <w:t xml:space="preserve"> </w:t>
      </w:r>
      <w:r w:rsidR="00BE587F">
        <w:t xml:space="preserve">samples taken from </w:t>
      </w:r>
      <w:r w:rsidR="004E5FAC">
        <w:t>healthy and sick s</w:t>
      </w:r>
      <w:r w:rsidR="00BE587F">
        <w:t>ubtidal individuals yielded</w:t>
      </w:r>
      <w:r w:rsidR="004E5FAC">
        <w:t xml:space="preserve"> 20 significantly upregulated genes and 113 significantly downr</w:t>
      </w:r>
      <w:r w:rsidR="00FE6077">
        <w:t>egulated genes</w:t>
      </w:r>
      <w:r w:rsidR="004E5FAC">
        <w:t>. The final analysis, contrasting healthy and sick individuals while controlling for location, resulted in 209 significantly upregulated genes and 65 significantly downre</w:t>
      </w:r>
      <w:r w:rsidR="00FE6077">
        <w:t>gulated genes</w:t>
      </w:r>
      <w:r w:rsidR="004E5FAC">
        <w:t xml:space="preserve">. </w:t>
      </w:r>
      <w:r w:rsidR="00E82DF9">
        <w:t xml:space="preserve">Principal Component Analyses (Figure 1) run for each of the models, demonstrate that there is not a clear clustering of </w:t>
      </w:r>
      <w:r w:rsidR="00BE587F">
        <w:t xml:space="preserve">samples taken from </w:t>
      </w:r>
      <w:r w:rsidR="00E82DF9">
        <w:t>healthy and sick individuals in any of the models. Despite the</w:t>
      </w:r>
      <w:r w:rsidR="00BE587F">
        <w:t xml:space="preserve"> lack of clear clustering</w:t>
      </w:r>
      <w:r w:rsidR="00E82DF9">
        <w:t>, further examination of the most highly differentially expressed gene in each model demonstr</w:t>
      </w:r>
      <w:r w:rsidR="00B06EE8">
        <w:t>ate</w:t>
      </w:r>
      <w:r w:rsidR="00BE587F">
        <w:t>s</w:t>
      </w:r>
      <w:r w:rsidR="00B06EE8">
        <w:t xml:space="preserve"> that there are</w:t>
      </w:r>
      <w:r w:rsidR="00BE587F">
        <w:t xml:space="preserve"> differences in gene expression among samples taken from</w:t>
      </w:r>
      <w:r w:rsidR="00E82DF9">
        <w:t xml:space="preserve"> healthy and sick individuals (Figure 2). </w:t>
      </w:r>
    </w:p>
    <w:tbl>
      <w:tblPr>
        <w:tblStyle w:val="TableGrid"/>
        <w:tblW w:w="0" w:type="auto"/>
        <w:tblLayout w:type="fixed"/>
        <w:tblLook w:val="04A0" w:firstRow="1" w:lastRow="0" w:firstColumn="1" w:lastColumn="0" w:noHBand="0" w:noVBand="1"/>
      </w:tblPr>
      <w:tblGrid>
        <w:gridCol w:w="2785"/>
        <w:gridCol w:w="1440"/>
        <w:gridCol w:w="1800"/>
        <w:gridCol w:w="2160"/>
      </w:tblGrid>
      <w:tr w:rsidR="000553BB" w:rsidTr="000553BB">
        <w:tc>
          <w:tcPr>
            <w:tcW w:w="2785" w:type="dxa"/>
          </w:tcPr>
          <w:p w:rsidR="000553BB" w:rsidRDefault="000553BB"/>
        </w:tc>
        <w:tc>
          <w:tcPr>
            <w:tcW w:w="1440" w:type="dxa"/>
          </w:tcPr>
          <w:p w:rsidR="000553BB" w:rsidRDefault="000553BB">
            <w:r>
              <w:t>Intertidal</w:t>
            </w:r>
          </w:p>
        </w:tc>
        <w:tc>
          <w:tcPr>
            <w:tcW w:w="1800" w:type="dxa"/>
          </w:tcPr>
          <w:p w:rsidR="000553BB" w:rsidRDefault="000553BB">
            <w:r>
              <w:t>Subtidal</w:t>
            </w:r>
          </w:p>
        </w:tc>
        <w:tc>
          <w:tcPr>
            <w:tcW w:w="2160" w:type="dxa"/>
          </w:tcPr>
          <w:p w:rsidR="000553BB" w:rsidRDefault="000553BB">
            <w:r>
              <w:t>Full Model</w:t>
            </w:r>
          </w:p>
        </w:tc>
      </w:tr>
      <w:tr w:rsidR="000553BB" w:rsidTr="000553BB">
        <w:tc>
          <w:tcPr>
            <w:tcW w:w="2785" w:type="dxa"/>
          </w:tcPr>
          <w:p w:rsidR="000553BB" w:rsidRDefault="000553BB">
            <w:r>
              <w:t>Significantly Upregulated</w:t>
            </w:r>
          </w:p>
        </w:tc>
        <w:tc>
          <w:tcPr>
            <w:tcW w:w="1440" w:type="dxa"/>
          </w:tcPr>
          <w:p w:rsidR="000553BB" w:rsidRDefault="000553BB">
            <w:r>
              <w:t>205</w:t>
            </w:r>
          </w:p>
        </w:tc>
        <w:tc>
          <w:tcPr>
            <w:tcW w:w="1800" w:type="dxa"/>
          </w:tcPr>
          <w:p w:rsidR="000553BB" w:rsidRDefault="000553BB">
            <w:r>
              <w:t>20</w:t>
            </w:r>
          </w:p>
        </w:tc>
        <w:tc>
          <w:tcPr>
            <w:tcW w:w="2160" w:type="dxa"/>
          </w:tcPr>
          <w:p w:rsidR="000553BB" w:rsidRDefault="000553BB">
            <w:r>
              <w:t>209</w:t>
            </w:r>
          </w:p>
        </w:tc>
      </w:tr>
      <w:tr w:rsidR="000553BB" w:rsidTr="000553BB">
        <w:tc>
          <w:tcPr>
            <w:tcW w:w="2785" w:type="dxa"/>
          </w:tcPr>
          <w:p w:rsidR="000553BB" w:rsidRDefault="000553BB">
            <w:r>
              <w:t>Significantly Downregulated</w:t>
            </w:r>
          </w:p>
        </w:tc>
        <w:tc>
          <w:tcPr>
            <w:tcW w:w="1440" w:type="dxa"/>
          </w:tcPr>
          <w:p w:rsidR="000553BB" w:rsidRDefault="000553BB">
            <w:r>
              <w:t>37</w:t>
            </w:r>
          </w:p>
        </w:tc>
        <w:tc>
          <w:tcPr>
            <w:tcW w:w="1800" w:type="dxa"/>
          </w:tcPr>
          <w:p w:rsidR="000553BB" w:rsidRDefault="000553BB">
            <w:r>
              <w:t>113</w:t>
            </w:r>
          </w:p>
        </w:tc>
        <w:tc>
          <w:tcPr>
            <w:tcW w:w="2160" w:type="dxa"/>
          </w:tcPr>
          <w:p w:rsidR="000553BB" w:rsidRDefault="000553BB">
            <w:r>
              <w:t>65</w:t>
            </w:r>
          </w:p>
        </w:tc>
      </w:tr>
    </w:tbl>
    <w:p w:rsidR="00B6323B" w:rsidRPr="000553BB" w:rsidRDefault="00B6323B" w:rsidP="00055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rPr>
          <w:sz w:val="10"/>
          <w:szCs w:val="10"/>
        </w:rPr>
      </w:pPr>
    </w:p>
    <w:p w:rsidR="000553BB" w:rsidRDefault="000553BB" w:rsidP="00055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0553BB">
        <w:rPr>
          <w:b/>
        </w:rPr>
        <w:t>Table 1</w:t>
      </w:r>
      <w:r>
        <w:t xml:space="preserve">. Summary of the number of genes significantly upregulated and significantly </w:t>
      </w:r>
    </w:p>
    <w:p w:rsidR="000553BB" w:rsidRDefault="000553BB" w:rsidP="00055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roofErr w:type="gramStart"/>
      <w:r>
        <w:t>downregulated</w:t>
      </w:r>
      <w:proofErr w:type="gramEnd"/>
      <w:r>
        <w:t xml:space="preserve"> (adjusted p &lt; 0.1) in each model.</w:t>
      </w:r>
    </w:p>
    <w:p w:rsidR="000553BB" w:rsidRDefault="000553BB" w:rsidP="00055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450" w:right="-720"/>
      </w:pPr>
    </w:p>
    <w:p w:rsidR="00BE587F" w:rsidRDefault="00BE587F" w:rsidP="00055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450" w:right="-720"/>
      </w:pPr>
    </w:p>
    <w:p w:rsidR="000553BB" w:rsidRDefault="000553BB" w:rsidP="00055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450" w:right="-720"/>
      </w:pPr>
      <w:r>
        <w:lastRenderedPageBreak/>
        <w:t xml:space="preserve">A. </w:t>
      </w:r>
      <w:r>
        <w:rPr>
          <w:noProof/>
        </w:rPr>
        <w:drawing>
          <wp:inline distT="0" distB="0" distL="0" distR="0" wp14:anchorId="238DDB79" wp14:editId="14296868">
            <wp:extent cx="2118477" cy="176942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902" b="11066"/>
                    <a:stretch/>
                  </pic:blipFill>
                  <pic:spPr bwMode="auto">
                    <a:xfrm>
                      <a:off x="0" y="0"/>
                      <a:ext cx="2126188" cy="1775863"/>
                    </a:xfrm>
                    <a:prstGeom prst="rect">
                      <a:avLst/>
                    </a:prstGeom>
                    <a:ln>
                      <a:noFill/>
                    </a:ln>
                    <a:extLst>
                      <a:ext uri="{53640926-AAD7-44D8-BBD7-CCE9431645EC}">
                        <a14:shadowObscured xmlns:a14="http://schemas.microsoft.com/office/drawing/2010/main"/>
                      </a:ext>
                    </a:extLst>
                  </pic:spPr>
                </pic:pic>
              </a:graphicData>
            </a:graphic>
          </wp:inline>
        </w:drawing>
      </w:r>
      <w:r>
        <w:t xml:space="preserve">B. </w:t>
      </w:r>
      <w:r>
        <w:rPr>
          <w:noProof/>
        </w:rPr>
        <w:drawing>
          <wp:inline distT="0" distB="0" distL="0" distR="0" wp14:anchorId="3BBC8484" wp14:editId="4A348CE0">
            <wp:extent cx="1995055" cy="181382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484" b="8931"/>
                    <a:stretch/>
                  </pic:blipFill>
                  <pic:spPr bwMode="auto">
                    <a:xfrm>
                      <a:off x="0" y="0"/>
                      <a:ext cx="2001918" cy="1820062"/>
                    </a:xfrm>
                    <a:prstGeom prst="rect">
                      <a:avLst/>
                    </a:prstGeom>
                    <a:ln>
                      <a:noFill/>
                    </a:ln>
                    <a:extLst>
                      <a:ext uri="{53640926-AAD7-44D8-BBD7-CCE9431645EC}">
                        <a14:shadowObscured xmlns:a14="http://schemas.microsoft.com/office/drawing/2010/main"/>
                      </a:ext>
                    </a:extLst>
                  </pic:spPr>
                </pic:pic>
              </a:graphicData>
            </a:graphic>
          </wp:inline>
        </w:drawing>
      </w:r>
      <w:r>
        <w:t xml:space="preserve"> C. </w:t>
      </w:r>
      <w:r>
        <w:rPr>
          <w:noProof/>
        </w:rPr>
        <w:drawing>
          <wp:inline distT="0" distB="0" distL="0" distR="0" wp14:anchorId="11AEE3BD" wp14:editId="7D6390EA">
            <wp:extent cx="1983179" cy="180302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484" b="8931"/>
                    <a:stretch/>
                  </pic:blipFill>
                  <pic:spPr bwMode="auto">
                    <a:xfrm>
                      <a:off x="0" y="0"/>
                      <a:ext cx="1991728" cy="1810797"/>
                    </a:xfrm>
                    <a:prstGeom prst="rect">
                      <a:avLst/>
                    </a:prstGeom>
                    <a:ln>
                      <a:noFill/>
                    </a:ln>
                    <a:extLst>
                      <a:ext uri="{53640926-AAD7-44D8-BBD7-CCE9431645EC}">
                        <a14:shadowObscured xmlns:a14="http://schemas.microsoft.com/office/drawing/2010/main"/>
                      </a:ext>
                    </a:extLst>
                  </pic:spPr>
                </pic:pic>
              </a:graphicData>
            </a:graphic>
          </wp:inline>
        </w:drawing>
      </w:r>
    </w:p>
    <w:p w:rsidR="007A2712" w:rsidRDefault="000553BB" w:rsidP="00055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
      </w:pPr>
      <w:r w:rsidRPr="000553BB">
        <w:rPr>
          <w:b/>
        </w:rPr>
        <w:t>Figure 1</w:t>
      </w:r>
      <w:r>
        <w:t xml:space="preserve">. PCA plots comparing </w:t>
      </w:r>
      <w:r w:rsidR="007A2712">
        <w:t xml:space="preserve">gene expression in </w:t>
      </w:r>
      <w:r>
        <w:t>healthy a</w:t>
      </w:r>
      <w:r w:rsidR="007A2712">
        <w:t xml:space="preserve">nd sick individuals. A) Depicts healthy and sick intertidal individuals. B) Depicts healthy and sick subtidal individuals. C) Depicts healthy and sick </w:t>
      </w:r>
    </w:p>
    <w:p w:rsidR="000553BB" w:rsidRDefault="007A2712" w:rsidP="00055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
      </w:pPr>
      <w:r>
        <w:t>individuals in all locations, while controlling for location.</w:t>
      </w:r>
    </w:p>
    <w:p w:rsidR="00462C52" w:rsidRDefault="00462C52"/>
    <w:p w:rsidR="00E81499" w:rsidRDefault="007A2712" w:rsidP="007A2712">
      <w:pPr>
        <w:tabs>
          <w:tab w:val="left" w:pos="9360"/>
        </w:tabs>
      </w:pPr>
      <w:r>
        <w:rPr>
          <w:noProof/>
        </w:rPr>
        <w:t>A.</w:t>
      </w:r>
      <w:r w:rsidR="00462C52">
        <w:rPr>
          <w:noProof/>
        </w:rPr>
        <w:drawing>
          <wp:inline distT="0" distB="0" distL="0" distR="0" wp14:anchorId="676158C0" wp14:editId="4E85636B">
            <wp:extent cx="1869629" cy="17812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9285" cy="1828609"/>
                    </a:xfrm>
                    <a:prstGeom prst="rect">
                      <a:avLst/>
                    </a:prstGeom>
                  </pic:spPr>
                </pic:pic>
              </a:graphicData>
            </a:graphic>
          </wp:inline>
        </w:drawing>
      </w:r>
      <w:r>
        <w:rPr>
          <w:noProof/>
        </w:rPr>
        <w:t>B.</w:t>
      </w:r>
      <w:r>
        <w:rPr>
          <w:noProof/>
        </w:rPr>
        <w:drawing>
          <wp:inline distT="0" distB="0" distL="0" distR="0" wp14:anchorId="46B67984" wp14:editId="6160A327">
            <wp:extent cx="1857162" cy="176942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4068" cy="1795058"/>
                    </a:xfrm>
                    <a:prstGeom prst="rect">
                      <a:avLst/>
                    </a:prstGeom>
                  </pic:spPr>
                </pic:pic>
              </a:graphicData>
            </a:graphic>
          </wp:inline>
        </w:drawing>
      </w:r>
      <w:r>
        <w:rPr>
          <w:noProof/>
        </w:rPr>
        <w:t xml:space="preserve"> C.</w:t>
      </w:r>
      <w:r>
        <w:rPr>
          <w:noProof/>
        </w:rPr>
        <w:drawing>
          <wp:inline distT="0" distB="0" distL="0" distR="0" wp14:anchorId="205F7706" wp14:editId="0965E751">
            <wp:extent cx="1828800" cy="174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8105" cy="1789376"/>
                    </a:xfrm>
                    <a:prstGeom prst="rect">
                      <a:avLst/>
                    </a:prstGeom>
                  </pic:spPr>
                </pic:pic>
              </a:graphicData>
            </a:graphic>
          </wp:inline>
        </w:drawing>
      </w:r>
    </w:p>
    <w:p w:rsidR="007A2712" w:rsidRDefault="007A2712">
      <w:r w:rsidRPr="00FE6077">
        <w:rPr>
          <w:b/>
        </w:rPr>
        <w:t>Figure 2</w:t>
      </w:r>
      <w:r>
        <w:t xml:space="preserve">. </w:t>
      </w:r>
      <w:r w:rsidR="00FE6077">
        <w:t xml:space="preserve">Depiction of the interaction between health, score, and read count for the top differentially expressed gene in each model. A) Differential expression of </w:t>
      </w:r>
      <w:r w:rsidR="00FE6077" w:rsidRPr="00462C52">
        <w:t>DN43080_c1</w:t>
      </w:r>
      <w:r w:rsidR="00FE6077">
        <w:t>_g1</w:t>
      </w:r>
      <w:r w:rsidR="00FE6077">
        <w:t xml:space="preserve"> in healthy and sick intertidal individuals. B) D</w:t>
      </w:r>
      <w:r w:rsidR="00FE6077">
        <w:t xml:space="preserve">ifferential expression of </w:t>
      </w:r>
      <w:r w:rsidR="00FE6077" w:rsidRPr="00462C52">
        <w:t>DN42073_c0</w:t>
      </w:r>
      <w:r w:rsidR="00FE6077">
        <w:t>_g1</w:t>
      </w:r>
      <w:r w:rsidR="00B06EE8">
        <w:t xml:space="preserve"> </w:t>
      </w:r>
      <w:r w:rsidR="00FE6077">
        <w:t>in healthy and sick subtidal</w:t>
      </w:r>
      <w:r w:rsidR="00FE6077">
        <w:t xml:space="preserve"> individuals. </w:t>
      </w:r>
      <w:r w:rsidR="00FE6077">
        <w:t xml:space="preserve"> C) D</w:t>
      </w:r>
      <w:r w:rsidR="00FE6077">
        <w:t xml:space="preserve">ifferential expression of </w:t>
      </w:r>
      <w:r w:rsidR="00FE6077" w:rsidRPr="00462C52">
        <w:t>DN43080_c1</w:t>
      </w:r>
      <w:r w:rsidR="00FE6077">
        <w:t>_g1</w:t>
      </w:r>
      <w:r w:rsidR="00FE6077">
        <w:t xml:space="preserve"> in healthy and sick </w:t>
      </w:r>
      <w:r w:rsidR="00FE6077">
        <w:t>individuals.</w:t>
      </w:r>
    </w:p>
    <w:p w:rsidR="009960BA" w:rsidRDefault="00FE6077">
      <w:r w:rsidRPr="00BE587F">
        <w:rPr>
          <w:b/>
          <w:noProof/>
        </w:rPr>
        <w:t>Discussion</w:t>
      </w:r>
      <w:r>
        <w:rPr>
          <w:noProof/>
        </w:rPr>
        <w:t xml:space="preserve">: </w:t>
      </w:r>
      <w:r w:rsidR="00B06EE8">
        <w:rPr>
          <w:noProof/>
        </w:rPr>
        <w:t xml:space="preserve">There is a higher level of upregulation of genes in </w:t>
      </w:r>
      <w:r w:rsidR="00225D5C">
        <w:rPr>
          <w:noProof/>
        </w:rPr>
        <w:t xml:space="preserve">samples taken from </w:t>
      </w:r>
      <w:r w:rsidR="00B06EE8">
        <w:rPr>
          <w:noProof/>
        </w:rPr>
        <w:t xml:space="preserve">sick intertidal individuals as compared to </w:t>
      </w:r>
      <w:r w:rsidR="00225D5C">
        <w:rPr>
          <w:noProof/>
        </w:rPr>
        <w:t xml:space="preserve">samples taken from </w:t>
      </w:r>
      <w:r w:rsidR="00B06EE8">
        <w:rPr>
          <w:noProof/>
        </w:rPr>
        <w:t xml:space="preserve">healthy intertidal individuals. Contrastingly, there is a higher level of downregulation of genes in </w:t>
      </w:r>
      <w:r w:rsidR="00225D5C">
        <w:rPr>
          <w:noProof/>
        </w:rPr>
        <w:t xml:space="preserve">samples taken from </w:t>
      </w:r>
      <w:r w:rsidR="00B06EE8">
        <w:rPr>
          <w:noProof/>
        </w:rPr>
        <w:t xml:space="preserve">sick subtidal individuals as compared to </w:t>
      </w:r>
      <w:r w:rsidR="00225D5C">
        <w:rPr>
          <w:noProof/>
        </w:rPr>
        <w:t xml:space="preserve">samples taken from </w:t>
      </w:r>
      <w:r w:rsidR="00B06EE8">
        <w:rPr>
          <w:noProof/>
        </w:rPr>
        <w:t>health</w:t>
      </w:r>
      <w:r w:rsidR="00225D5C">
        <w:rPr>
          <w:noProof/>
        </w:rPr>
        <w:t>y</w:t>
      </w:r>
      <w:r w:rsidR="00B06EE8">
        <w:rPr>
          <w:noProof/>
        </w:rPr>
        <w:t xml:space="preserve"> subtidal individuals. While PCA plots demonstrate the lack of clear clustering of healthy with health</w:t>
      </w:r>
      <w:r w:rsidR="00225D5C">
        <w:rPr>
          <w:noProof/>
        </w:rPr>
        <w:t>y and sick with sick samples</w:t>
      </w:r>
      <w:r w:rsidR="00B06EE8">
        <w:rPr>
          <w:noProof/>
        </w:rPr>
        <w:t>, our top differentially expressed gene for each model show interesting patterns of differential gene expression</w:t>
      </w:r>
      <w:r w:rsidR="00225D5C">
        <w:rPr>
          <w:noProof/>
        </w:rPr>
        <w:t>. Panel A and C in Figure 2  are both looking at</w:t>
      </w:r>
      <w:r w:rsidR="00B06EE8">
        <w:rPr>
          <w:noProof/>
        </w:rPr>
        <w:t xml:space="preserve"> the interaction between read count, health, and score. The </w:t>
      </w:r>
      <w:r w:rsidR="00B06EE8" w:rsidRPr="00462C52">
        <w:t>DN43080_c1</w:t>
      </w:r>
      <w:r w:rsidR="00B06EE8">
        <w:t>_g1</w:t>
      </w:r>
      <w:r w:rsidR="00B06EE8">
        <w:t xml:space="preserve"> gene shows an increased expression in the sick samples as compared to the healthy samples, while also increasing with increasing score. The results depicted in Figure 2B, however</w:t>
      </w:r>
      <w:r w:rsidR="009960BA">
        <w:t>,</w:t>
      </w:r>
      <w:r w:rsidR="00B06EE8">
        <w:t xml:space="preserve"> show a striking lack of expression in gene </w:t>
      </w:r>
      <w:r w:rsidR="00B06EE8" w:rsidRPr="00462C52">
        <w:t>DN42073_c0</w:t>
      </w:r>
      <w:r w:rsidR="00B06EE8">
        <w:t>_g1</w:t>
      </w:r>
      <w:r w:rsidR="00B06EE8">
        <w:t xml:space="preserve"> in subtidal sick samples as compared to subtidal healthy samples. </w:t>
      </w:r>
      <w:r w:rsidR="009960BA">
        <w:t xml:space="preserve">It is interesting to see such differences in overall expression patterns in intertidal versus subtidal samples. Next steps in the analyses of these data would be to functionally annotate our reference transcriptome. With functional annotation, we could associate differentially expressed genes with their potential role in host response to sea star wasting disease. </w:t>
      </w:r>
      <w:bookmarkStart w:id="0" w:name="_GoBack"/>
      <w:bookmarkEnd w:id="0"/>
    </w:p>
    <w:p w:rsidR="000A1648" w:rsidRDefault="009960BA">
      <w:r w:rsidRPr="00BE587F">
        <w:rPr>
          <w:b/>
        </w:rPr>
        <w:t>Works Cited</w:t>
      </w:r>
      <w:r>
        <w:t xml:space="preserve">: 1. </w:t>
      </w:r>
      <w:r>
        <w:t>R Core Team (2016). R: A language and environme</w:t>
      </w:r>
      <w:r w:rsidR="00BE587F">
        <w:t>nt for statistical computing. R</w:t>
      </w:r>
      <w:r>
        <w:t xml:space="preserve"> Foundation for Statistical </w:t>
      </w:r>
      <w:r>
        <w:t xml:space="preserve">Computing, Vienna, Austria. </w:t>
      </w:r>
      <w:proofErr w:type="gramStart"/>
      <w:r>
        <w:t xml:space="preserve">URL </w:t>
      </w:r>
      <w:r>
        <w:t xml:space="preserve"> https</w:t>
      </w:r>
      <w:proofErr w:type="gramEnd"/>
      <w:r>
        <w:t>://www.R-project.org/.</w:t>
      </w:r>
      <w:r>
        <w:t xml:space="preserve"> 2. </w:t>
      </w:r>
      <w:r>
        <w:t xml:space="preserve">Michael I Love, Wolfgang Huber and Simon Anders </w:t>
      </w:r>
      <w:r>
        <w:t xml:space="preserve">(2014): Moderated estimation of </w:t>
      </w:r>
      <w:r>
        <w:t>fold change and dispersion for RNA-Seq data with DESeq2. Genome Biology</w:t>
      </w:r>
    </w:p>
    <w:sectPr w:rsidR="000A1648" w:rsidSect="00225D5C">
      <w:headerReference w:type="default" r:id="rId12"/>
      <w:pgSz w:w="12240" w:h="15840"/>
      <w:pgMar w:top="1440" w:right="1440" w:bottom="4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DD9" w:rsidRDefault="00FD3DD9" w:rsidP="00FE6077">
      <w:pPr>
        <w:spacing w:after="0" w:line="240" w:lineRule="auto"/>
      </w:pPr>
      <w:r>
        <w:separator/>
      </w:r>
    </w:p>
  </w:endnote>
  <w:endnote w:type="continuationSeparator" w:id="0">
    <w:p w:rsidR="00FD3DD9" w:rsidRDefault="00FD3DD9" w:rsidP="00FE6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DD9" w:rsidRDefault="00FD3DD9" w:rsidP="00FE6077">
      <w:pPr>
        <w:spacing w:after="0" w:line="240" w:lineRule="auto"/>
      </w:pPr>
      <w:r>
        <w:separator/>
      </w:r>
    </w:p>
  </w:footnote>
  <w:footnote w:type="continuationSeparator" w:id="0">
    <w:p w:rsidR="00FD3DD9" w:rsidRDefault="00FD3DD9" w:rsidP="00FE60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077" w:rsidRDefault="00FE6077">
    <w:pPr>
      <w:pStyle w:val="Header"/>
    </w:pPr>
    <w:r>
      <w:t>Lauren Ashlock</w:t>
    </w:r>
  </w:p>
  <w:p w:rsidR="00FE6077" w:rsidRDefault="00FE6077">
    <w:pPr>
      <w:pStyle w:val="Header"/>
    </w:pPr>
    <w:r>
      <w:t>3/8/17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93CBC"/>
    <w:multiLevelType w:val="hybridMultilevel"/>
    <w:tmpl w:val="6964A6BC"/>
    <w:lvl w:ilvl="0" w:tplc="151893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99"/>
    <w:rsid w:val="000553BB"/>
    <w:rsid w:val="000A1648"/>
    <w:rsid w:val="00225D5C"/>
    <w:rsid w:val="003717E8"/>
    <w:rsid w:val="003E5A54"/>
    <w:rsid w:val="00431BEA"/>
    <w:rsid w:val="00462C52"/>
    <w:rsid w:val="004A4A10"/>
    <w:rsid w:val="004E5FAC"/>
    <w:rsid w:val="00552A1C"/>
    <w:rsid w:val="00751639"/>
    <w:rsid w:val="007A2712"/>
    <w:rsid w:val="00947FB3"/>
    <w:rsid w:val="009960BA"/>
    <w:rsid w:val="00B06EE8"/>
    <w:rsid w:val="00B46C3C"/>
    <w:rsid w:val="00B6323B"/>
    <w:rsid w:val="00BC2CF3"/>
    <w:rsid w:val="00BE587F"/>
    <w:rsid w:val="00C43C20"/>
    <w:rsid w:val="00E761BB"/>
    <w:rsid w:val="00E81499"/>
    <w:rsid w:val="00E82DF9"/>
    <w:rsid w:val="00EF30B2"/>
    <w:rsid w:val="00FD3DD9"/>
    <w:rsid w:val="00FE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2C4DF-475D-42A0-8AD8-ADD62458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A10"/>
    <w:pPr>
      <w:ind w:left="720"/>
      <w:contextualSpacing/>
    </w:pPr>
  </w:style>
  <w:style w:type="paragraph" w:styleId="HTMLPreformatted">
    <w:name w:val="HTML Preformatted"/>
    <w:basedOn w:val="Normal"/>
    <w:link w:val="HTMLPreformattedChar"/>
    <w:uiPriority w:val="99"/>
    <w:semiHidden/>
    <w:unhideWhenUsed/>
    <w:rsid w:val="00B63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23B"/>
    <w:rPr>
      <w:rFonts w:ascii="Courier New" w:eastAsia="Times New Roman" w:hAnsi="Courier New" w:cs="Courier New"/>
      <w:sz w:val="20"/>
      <w:szCs w:val="20"/>
    </w:rPr>
  </w:style>
  <w:style w:type="table" w:styleId="TableGrid">
    <w:name w:val="Table Grid"/>
    <w:basedOn w:val="TableNormal"/>
    <w:uiPriority w:val="39"/>
    <w:rsid w:val="00055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6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077"/>
  </w:style>
  <w:style w:type="paragraph" w:styleId="Footer">
    <w:name w:val="footer"/>
    <w:basedOn w:val="Normal"/>
    <w:link w:val="FooterChar"/>
    <w:uiPriority w:val="99"/>
    <w:unhideWhenUsed/>
    <w:rsid w:val="00FE6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6605">
      <w:bodyDiv w:val="1"/>
      <w:marLeft w:val="0"/>
      <w:marRight w:val="0"/>
      <w:marTop w:val="0"/>
      <w:marBottom w:val="0"/>
      <w:divBdr>
        <w:top w:val="none" w:sz="0" w:space="0" w:color="auto"/>
        <w:left w:val="none" w:sz="0" w:space="0" w:color="auto"/>
        <w:bottom w:val="none" w:sz="0" w:space="0" w:color="auto"/>
        <w:right w:val="none" w:sz="0" w:space="0" w:color="auto"/>
      </w:divBdr>
    </w:div>
    <w:div w:id="116144499">
      <w:bodyDiv w:val="1"/>
      <w:marLeft w:val="0"/>
      <w:marRight w:val="0"/>
      <w:marTop w:val="0"/>
      <w:marBottom w:val="0"/>
      <w:divBdr>
        <w:top w:val="none" w:sz="0" w:space="0" w:color="auto"/>
        <w:left w:val="none" w:sz="0" w:space="0" w:color="auto"/>
        <w:bottom w:val="none" w:sz="0" w:space="0" w:color="auto"/>
        <w:right w:val="none" w:sz="0" w:space="0" w:color="auto"/>
      </w:divBdr>
    </w:div>
    <w:div w:id="141447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Wynkoop</dc:creator>
  <cp:keywords/>
  <dc:description/>
  <cp:lastModifiedBy>Lauren Wynkoop</cp:lastModifiedBy>
  <cp:revision>2</cp:revision>
  <dcterms:created xsi:type="dcterms:W3CDTF">2017-03-09T04:55:00Z</dcterms:created>
  <dcterms:modified xsi:type="dcterms:W3CDTF">2017-03-09T04:55:00Z</dcterms:modified>
</cp:coreProperties>
</file>