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0D3" w:rsidTr="000970D3">
        <w:tc>
          <w:tcPr>
            <w:tcW w:w="4675" w:type="dxa"/>
          </w:tcPr>
          <w:p w:rsidR="000970D3" w:rsidRPr="004670FC" w:rsidRDefault="000970D3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4670FC">
              <w:rPr>
                <w:rFonts w:ascii="Times New Roman" w:hAnsi="Times New Roman" w:cs="Times New Roman"/>
                <w:b/>
              </w:rPr>
              <w:t>Data Set</w:t>
            </w:r>
          </w:p>
        </w:tc>
        <w:tc>
          <w:tcPr>
            <w:tcW w:w="4675" w:type="dxa"/>
          </w:tcPr>
          <w:p w:rsidR="000970D3" w:rsidRPr="004670FC" w:rsidRDefault="004670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SNPs with PC1 Loading</w:t>
            </w:r>
            <w:r w:rsidR="000970D3" w:rsidRPr="004670FC">
              <w:rPr>
                <w:rFonts w:ascii="Times New Roman" w:hAnsi="Times New Roman" w:cs="Times New Roman"/>
                <w:b/>
              </w:rPr>
              <w:t xml:space="preserve"> in 99.9</w:t>
            </w:r>
            <w:r w:rsidR="000970D3" w:rsidRPr="004670FC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0970D3" w:rsidRPr="004670FC">
              <w:rPr>
                <w:rFonts w:ascii="Times New Roman" w:hAnsi="Times New Roman" w:cs="Times New Roman"/>
                <w:b/>
              </w:rPr>
              <w:t xml:space="preserve"> Percentile</w:t>
            </w:r>
          </w:p>
        </w:tc>
      </w:tr>
      <w:tr w:rsidR="000970D3" w:rsidTr="000970D3"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DN46269_c0_g1</w:t>
            </w:r>
          </w:p>
        </w:tc>
      </w:tr>
      <w:tr w:rsidR="000970D3" w:rsidTr="000970D3"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DN45155_c27_g1</w:t>
            </w:r>
          </w:p>
        </w:tc>
      </w:tr>
      <w:tr w:rsidR="000970D3" w:rsidTr="000970D3"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 w:rsidRPr="006350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DN39079_c3_g1</w:t>
            </w:r>
          </w:p>
        </w:tc>
      </w:tr>
      <w:tr w:rsidR="000970D3" w:rsidTr="000970D3"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 w:rsidRPr="006350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DN39696_c4_g1</w:t>
            </w:r>
          </w:p>
        </w:tc>
      </w:tr>
      <w:tr w:rsidR="000970D3" w:rsidTr="000970D3"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 w:rsidRPr="006350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DN42225_c1_g1</w:t>
            </w:r>
          </w:p>
        </w:tc>
      </w:tr>
      <w:tr w:rsidR="000970D3" w:rsidTr="000970D3"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 w:rsidRPr="006350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DN46193_c5_g2</w:t>
            </w:r>
          </w:p>
        </w:tc>
      </w:tr>
      <w:tr w:rsidR="000970D3" w:rsidTr="000970D3"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4675" w:type="dxa"/>
          </w:tcPr>
          <w:p w:rsidR="000970D3" w:rsidRDefault="000970D3">
            <w:pPr>
              <w:rPr>
                <w:rFonts w:ascii="Times New Roman" w:hAnsi="Times New Roman" w:cs="Times New Roman"/>
              </w:rPr>
            </w:pPr>
            <w:r w:rsidRPr="006350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DN44693_c5_g1</w:t>
            </w:r>
          </w:p>
        </w:tc>
      </w:tr>
    </w:tbl>
    <w:p w:rsidR="004670FC" w:rsidRDefault="004670FC" w:rsidP="00467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b/>
        </w:rPr>
        <w:t>Table 1</w:t>
      </w:r>
      <w:r>
        <w:t xml:space="preserve">. </w:t>
      </w:r>
      <w:r>
        <w:t>List of SNPs from dataset 1.0 and 2.0 that load strongly on PC1</w:t>
      </w:r>
      <w:r>
        <w:t>.</w:t>
      </w:r>
    </w:p>
    <w:bookmarkEnd w:id="0"/>
    <w:p w:rsidR="000970D3" w:rsidRDefault="000970D3">
      <w:pPr>
        <w:rPr>
          <w:rFonts w:ascii="Times New Roman" w:hAnsi="Times New Roman" w:cs="Times New Roman"/>
        </w:rPr>
      </w:pPr>
    </w:p>
    <w:p w:rsidR="000970D3" w:rsidRDefault="000970D3">
      <w:pPr>
        <w:rPr>
          <w:rFonts w:ascii="Times New Roman" w:hAnsi="Times New Roman" w:cs="Times New Roman"/>
        </w:rPr>
      </w:pPr>
    </w:p>
    <w:p w:rsidR="00365C33" w:rsidRPr="00DE5002" w:rsidRDefault="00365C33">
      <w:pPr>
        <w:rPr>
          <w:rFonts w:ascii="Times New Roman" w:hAnsi="Times New Roman" w:cs="Times New Roman"/>
        </w:rPr>
      </w:pPr>
      <w:r w:rsidRPr="00DE5002">
        <w:rPr>
          <w:rFonts w:ascii="Times New Roman" w:hAnsi="Times New Roman" w:cs="Times New Roman"/>
        </w:rPr>
        <w:t>PCA by Health Status 1.0</w:t>
      </w:r>
    </w:p>
    <w:p w:rsidR="00677AF3" w:rsidRDefault="00503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6354CD">
        <w:rPr>
          <w:noProof/>
        </w:rPr>
        <w:drawing>
          <wp:inline distT="0" distB="0" distL="0" distR="0" wp14:anchorId="5FF3A14F" wp14:editId="1BAAEEFD">
            <wp:extent cx="2409825" cy="22090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786" cy="22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B. </w:t>
      </w:r>
      <w:r w:rsidR="006354CD">
        <w:rPr>
          <w:noProof/>
        </w:rPr>
        <w:drawing>
          <wp:inline distT="0" distB="0" distL="0" distR="0" wp14:anchorId="49FA19E1" wp14:editId="649FC4E6">
            <wp:extent cx="2410345" cy="2209482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432" cy="2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8" w:rsidRDefault="005034B8" w:rsidP="00503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</w:pPr>
      <w:r>
        <w:rPr>
          <w:b/>
        </w:rPr>
        <w:t>Figure 1</w:t>
      </w:r>
      <w:r w:rsidR="004B5F71">
        <w:t>. PCA plots depicting the variation in SNP</w:t>
      </w:r>
      <w:r>
        <w:t xml:space="preserve"> </w:t>
      </w:r>
      <w:r>
        <w:t>genotypes</w:t>
      </w:r>
      <w:r w:rsidR="004B5F71">
        <w:t xml:space="preserve"> for each individual sea star. Individuals are labeled by health status</w:t>
      </w:r>
      <w:r>
        <w:t>. A)</w:t>
      </w:r>
      <w:r>
        <w:t xml:space="preserve"> Depicts results from the PCA performed on dataset 1.0. </w:t>
      </w:r>
      <w:r>
        <w:t xml:space="preserve">B) Depicts </w:t>
      </w:r>
      <w:r>
        <w:t>results from the PCA performed on dataset 2.0.</w:t>
      </w:r>
    </w:p>
    <w:p w:rsidR="005034B8" w:rsidRPr="00DE5002" w:rsidRDefault="005034B8">
      <w:pPr>
        <w:rPr>
          <w:rFonts w:ascii="Times New Roman" w:hAnsi="Times New Roman" w:cs="Times New Roman"/>
        </w:rPr>
      </w:pPr>
    </w:p>
    <w:p w:rsidR="00677AF3" w:rsidRPr="00DE5002" w:rsidRDefault="00677AF3">
      <w:pPr>
        <w:rPr>
          <w:rFonts w:ascii="Times New Roman" w:hAnsi="Times New Roman" w:cs="Times New Roman"/>
        </w:rPr>
      </w:pPr>
      <w:r w:rsidRPr="00DE5002">
        <w:rPr>
          <w:rFonts w:ascii="Times New Roman" w:hAnsi="Times New Roman" w:cs="Times New Roman"/>
        </w:rPr>
        <w:t>Loading Plot 1.0</w:t>
      </w:r>
    </w:p>
    <w:p w:rsidR="00DE5002" w:rsidRPr="00DE5002" w:rsidRDefault="004670FC" w:rsidP="00DE50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DE5002">
        <w:rPr>
          <w:noProof/>
        </w:rPr>
        <w:drawing>
          <wp:inline distT="0" distB="0" distL="0" distR="0" wp14:anchorId="3DD48105" wp14:editId="12EF823A">
            <wp:extent cx="2072640" cy="18999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797" cy="19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B. </w:t>
      </w:r>
      <w:r w:rsidR="006350D6">
        <w:rPr>
          <w:noProof/>
        </w:rPr>
        <w:drawing>
          <wp:inline distT="0" distB="0" distL="0" distR="0" wp14:anchorId="59E31FA0" wp14:editId="5F9BBDCF">
            <wp:extent cx="2095500" cy="1920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828" cy="19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FC" w:rsidRDefault="004670FC" w:rsidP="00467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-90"/>
      </w:pPr>
      <w:r>
        <w:rPr>
          <w:b/>
        </w:rPr>
        <w:lastRenderedPageBreak/>
        <w:t>Figure 2</w:t>
      </w:r>
      <w:r>
        <w:t>. P</w:t>
      </w:r>
      <w:r>
        <w:t xml:space="preserve">lots depicting </w:t>
      </w:r>
      <w:r>
        <w:t>Loading for each SNP on PC1</w:t>
      </w:r>
      <w:r>
        <w:t xml:space="preserve">. </w:t>
      </w:r>
      <w:r>
        <w:t>The horizontal line depicts the 99.9</w:t>
      </w:r>
      <w:r w:rsidRPr="004670FC">
        <w:rPr>
          <w:vertAlign w:val="superscript"/>
        </w:rPr>
        <w:t>th</w:t>
      </w:r>
      <w:r>
        <w:t xml:space="preserve"> percentile</w:t>
      </w:r>
      <w:r>
        <w:t xml:space="preserve">. </w:t>
      </w:r>
      <w:r>
        <w:t xml:space="preserve">   </w:t>
      </w:r>
      <w:r>
        <w:t>A) Depicts results from the PCA performed on dataset 1.0. B) Depicts results from the PCA performed on dataset 2.0.</w:t>
      </w:r>
    </w:p>
    <w:p w:rsidR="006350D6" w:rsidRPr="00677AF3" w:rsidRDefault="006350D6" w:rsidP="00677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6350D6" w:rsidRPr="0067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33"/>
    <w:rsid w:val="00026D65"/>
    <w:rsid w:val="000970D3"/>
    <w:rsid w:val="00282ED0"/>
    <w:rsid w:val="00365C33"/>
    <w:rsid w:val="004670FC"/>
    <w:rsid w:val="004B5F71"/>
    <w:rsid w:val="005034B8"/>
    <w:rsid w:val="006350D6"/>
    <w:rsid w:val="006354CD"/>
    <w:rsid w:val="00677AF3"/>
    <w:rsid w:val="00B46C3C"/>
    <w:rsid w:val="00C74EEF"/>
    <w:rsid w:val="00DE5002"/>
    <w:rsid w:val="00E7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9C74-A7E7-4AB9-8842-1CACF8F7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A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9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Wynkoop</dc:creator>
  <cp:keywords/>
  <dc:description/>
  <cp:lastModifiedBy>Lauren Wynkoop</cp:lastModifiedBy>
  <cp:revision>4</cp:revision>
  <dcterms:created xsi:type="dcterms:W3CDTF">2017-04-05T01:59:00Z</dcterms:created>
  <dcterms:modified xsi:type="dcterms:W3CDTF">2017-04-06T03:43:00Z</dcterms:modified>
</cp:coreProperties>
</file>