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**Panel A. Linear regression models — Perceived Stress Score (PSS) as outcome**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1473"/>
        <w:gridCol w:w="1463"/>
        <w:gridCol w:w="1181"/>
        <w:gridCol w:w="1473"/>
        <w:gridCol w:w="1463"/>
        <w:gridCol w:w="1181"/>
        <w:gridCol w:w="1473"/>
        <w:gridCol w:w="1463"/>
        <w:gridCol w:w="1181"/>
        <w:gridCol w:w="1473"/>
        <w:gridCol w:w="1463"/>
        <w:gridCol w:w="1181"/>
      </w:tblGrid>
      <w:tr>
        <w:trPr>
          <w:trHeight w:val="43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m_a2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m_a3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m_a4</w:t>
            </w:r>
          </w:p>
        </w:tc>
      </w:tr>
      <w:tr>
        <w:trPr>
          <w:trHeight w:val="45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-0.08, 0.36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-0.24, 0.22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-0.29, 0.19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-0.27, 0.19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-0.30, 0.19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(Rainy vs. 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-5.8, 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 * Season (Rainy vs. 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 * Rainy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-0.01, 0.60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 * Season (Rainy vs. 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* Rainy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-2.6, 3.7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**Panel B. Logistic regression models — Water-related emotion (negative vs. positive) as outcome**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1670"/>
        <w:gridCol w:w="1389"/>
        <w:gridCol w:w="1181"/>
        <w:gridCol w:w="1670"/>
        <w:gridCol w:w="1389"/>
        <w:gridCol w:w="1181"/>
        <w:gridCol w:w="1670"/>
        <w:gridCol w:w="1389"/>
        <w:gridCol w:w="1181"/>
        <w:gridCol w:w="1670"/>
        <w:gridCol w:w="1389"/>
        <w:gridCol w:w="1181"/>
      </w:tblGrid>
      <w:tr>
        <w:trPr>
          <w:trHeight w:val="43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m_b2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m_b3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m_b4</w:t>
            </w:r>
          </w:p>
        </w:tc>
      </w:tr>
      <w:tr>
        <w:trPr>
          <w:trHeight w:val="45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1.18, 1.36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1.22, 1.54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(Rainy vs. 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 * Season (Rainy vs. 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 * Rainy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 * Season (Rainy vs. 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* Rainy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0.29, 2.06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2026-03-18T20:01:55Z</dcterms:modified>
  <cp:category/>
</cp:coreProperties>
</file>