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Descriptive statistics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578" w:hRule="auto"/>
          <w:tblHeader/>
        </w:trPr>
        <w:tc>
          <w:tcPr>
            <w:gridSpan w:val="2"/>
            <w:tcBorders>
              <w:bottom w:val="none" w:sz="0" w:space="0" w:color="000000"/>
              <w:top w:val="single" w:sz="12" w:space="0" w:color="1A3A5C"/>
              <w:left w:val="none" w:sz="0" w:space="0" w:color="000000"/>
              <w:right w:val="none" w:sz="0" w:space="0" w:color="000000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 </w:t>
            </w:r>
          </w:p>
        </w:tc>
        <w:tc>
          <w:tcPr>
            <w:gridSpan w:val="2"/>
            <w:tcBorders>
              <w:bottom w:val="none" w:sz="0" w:space="0" w:color="000000"/>
              <w:top w:val="single" w:sz="12" w:space="0" w:color="1A3A5C"/>
              <w:left w:val="none" w:sz="0" w:space="0" w:color="000000"/>
              <w:right w:val="none" w:sz="0" w:space="0" w:color="000000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Season of data collection</w:t>
            </w:r>
          </w:p>
        </w:tc>
        <w:tc>
          <w:tcPr>
            <w:gridSpan w:val="2"/>
            <w:tcBorders>
              <w:bottom w:val="none" w:sz="0" w:space="0" w:color="000000"/>
              <w:top w:val="single" w:sz="12" w:space="0" w:color="1A3A5C"/>
              <w:left w:val="none" w:sz="0" w:space="0" w:color="000000"/>
              <w:right w:val="none" w:sz="0" w:space="0" w:color="000000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 </w:t>
            </w:r>
          </w:p>
        </w:tc>
      </w:tr>
      <w:tr>
        <w:trPr>
          <w:trHeight w:val="779" w:hRule="auto"/>
          <w:tblHeader/>
        </w:trPr>
        <w:tc>
          <w:tcPr>
            <w:tcBorders>
              <w:bottom w:val="single" w:sz="12" w:space="0" w:color="1A3A5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Variable</w:t>
            </w:r>
          </w:p>
        </w:tc>
        <w:tc>
          <w:tcPr>
            <w:tcBorders>
              <w:bottom w:val="single" w:sz="12" w:space="0" w:color="1A3A5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Overall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  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br/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N = 397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vertAlign w:val="superscript"/>
                <w:sz w:val="20"/>
                <w:szCs w:val="20"/>
                <w:color w:val="FFFFFF"/>
              </w:rPr>
              <w:t xml:space="preserve">1</w:t>
            </w:r>
          </w:p>
        </w:tc>
        <w:tc>
          <w:tcPr>
            <w:tcBorders>
              <w:bottom w:val="single" w:sz="12" w:space="0" w:color="1A3A5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Rainy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  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br/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N = 201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vertAlign w:val="superscript"/>
                <w:sz w:val="20"/>
                <w:szCs w:val="20"/>
                <w:color w:val="FFFFFF"/>
              </w:rPr>
              <w:t xml:space="preserve">1</w:t>
            </w:r>
          </w:p>
        </w:tc>
        <w:tc>
          <w:tcPr>
            <w:tcBorders>
              <w:bottom w:val="single" w:sz="12" w:space="0" w:color="1A3A5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  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br/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N = 196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vertAlign w:val="superscript"/>
                <w:sz w:val="20"/>
                <w:szCs w:val="20"/>
                <w:color w:val="FFFFFF"/>
              </w:rPr>
              <w:t xml:space="preserve">1</w:t>
            </w:r>
          </w:p>
        </w:tc>
        <w:tc>
          <w:tcPr>
            <w:tcBorders>
              <w:bottom w:val="single" w:sz="12" w:space="0" w:color="1A3A5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p-value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vertAlign w:val="superscript"/>
                <w:sz w:val="20"/>
                <w:szCs w:val="20"/>
                <w:color w:val="FFFFFF"/>
              </w:rPr>
              <w:t xml:space="preserve">2</w:t>
            </w:r>
          </w:p>
        </w:tc>
        <w:tc>
          <w:tcPr>
            <w:tcBorders>
              <w:bottom w:val="single" w:sz="12" w:space="0" w:color="1A3A5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Missing (%)</w:t>
            </w:r>
          </w:p>
        </w:tc>
      </w:tr>
      <w:tr>
        <w:trPr>
          <w:trHeight w:val="617" w:hRule="auto"/>
        </w:trPr>
        <w:tc>
          <w:tcPr>
            <w:tcBorders>
              <w:bottom w:val="single" w:sz="4" w:space="0" w:color="BDC3C7"/>
              <w:top w:val="single" w:sz="12" w:space="0" w:color="1A3A5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Age</w:t>
            </w:r>
          </w:p>
        </w:tc>
        <w:tc>
          <w:tcPr>
            <w:tcBorders>
              <w:bottom w:val="single" w:sz="4" w:space="0" w:color="BDC3C7"/>
              <w:top w:val="single" w:sz="12" w:space="0" w:color="1A3A5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32.3 (7.4)</w:t>
            </w:r>
          </w:p>
        </w:tc>
        <w:tc>
          <w:tcPr>
            <w:tcBorders>
              <w:bottom w:val="single" w:sz="4" w:space="0" w:color="BDC3C7"/>
              <w:top w:val="single" w:sz="12" w:space="0" w:color="1A3A5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33.2 (7.1)</w:t>
            </w:r>
          </w:p>
        </w:tc>
        <w:tc>
          <w:tcPr>
            <w:tcBorders>
              <w:bottom w:val="single" w:sz="4" w:space="0" w:color="BDC3C7"/>
              <w:top w:val="single" w:sz="12" w:space="0" w:color="1A3A5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31.3 (7.6)</w:t>
            </w:r>
          </w:p>
        </w:tc>
        <w:tc>
          <w:tcPr>
            <w:tcBorders>
              <w:bottom w:val="single" w:sz="4" w:space="0" w:color="BDC3C7"/>
              <w:top w:val="single" w:sz="12" w:space="0" w:color="1A3A5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0.011</w:t>
            </w:r>
          </w:p>
        </w:tc>
        <w:tc>
          <w:tcPr>
            <w:tcBorders>
              <w:bottom w:val="single" w:sz="4" w:space="0" w:color="BDC3C7"/>
              <w:top w:val="single" w:sz="12" w:space="0" w:color="1A3A5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0.50%</w:t>
            </w:r>
          </w:p>
        </w:tc>
      </w:tr>
      <w:tr>
        <w:trPr>
          <w:trHeight w:val="618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Years in neighborhood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22.4 (11.4)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22.7 (11.3)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22.1 (11.5)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0.601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8.31%</w:t>
            </w:r>
          </w:p>
        </w:tc>
      </w:tr>
      <w:tr>
        <w:trPr>
          <w:trHeight w:val="616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Household size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5.6 (3.6)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6.8 (4.3)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4.4 (1.7)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5.29%</w:t>
            </w:r>
          </w:p>
        </w:tc>
      </w:tr>
      <w:tr>
        <w:trPr>
          <w:trHeight w:val="616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Parity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1.9 (1.3)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1.9 (1.2)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1.8 (1.3)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0.309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4.53%</w:t>
            </w:r>
          </w:p>
        </w:tc>
      </w:tr>
      <w:tr>
        <w:trPr>
          <w:trHeight w:val="618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SES (NSE-AMAI)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0.003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1.51%</w:t>
            </w:r>
          </w:p>
        </w:tc>
      </w:tr>
      <w:tr>
        <w:trPr>
          <w:trHeight w:val="616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14 (3.58%)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 (2.54%)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 (4.64%)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D-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54 (13.8%)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23 (11.7%)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31 (16.0%)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D+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60 (15.3%)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25 (12.7%)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35 (18.0%)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C-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90 (23.0%)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47 (23.9%)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43 (22.2%)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92 (23.5%)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44 (22.3%)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48 (24.7%)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C+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53 (13.6%)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34 (17.3%)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19 (9.79%)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AB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28 (7.16%)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19 (9.64%)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 (4.64%)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  Bathrooms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0.023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1.01%</w:t>
            </w:r>
          </w:p>
        </w:tc>
      </w:tr>
      <w:tr>
        <w:trPr>
          <w:trHeight w:val="616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 bathrooms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119 (30.3%)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51 (25.9%)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68 (34.7%)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bathroom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191 (48.6%)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97 (49.2%)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94 (48.0%)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2+ bathrooms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83 (21.1%)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49 (24.9%)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34 (17.3%)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  Car ownership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0.068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1.01%</w:t>
            </w:r>
          </w:p>
        </w:tc>
      </w:tr>
      <w:tr>
        <w:trPr>
          <w:trHeight w:val="616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 cars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277 (70.5%)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133 (66.8%)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144 (74.2%)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car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103 (26.2%)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55 (27.6%)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48 (24.7%)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2+ cars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 (3.31%)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11 (5.53%)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 (1.03%)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  Internet access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305 (77.2%)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157 (78.9%)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148 (75.5%)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0.472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0.50%</w:t>
            </w:r>
          </w:p>
        </w:tc>
      </w:tr>
      <w:tr>
        <w:trPr>
          <w:trHeight w:val="573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  Workers in household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0.003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0.50%</w:t>
            </w:r>
          </w:p>
        </w:tc>
      </w:tr>
      <w:tr>
        <w:trPr>
          <w:trHeight w:val="616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 workers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 (0.51%)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(0.50%)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(0.51%)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worker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132 (33.4%)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56 (28.1%)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76 (38.8%)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 workers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160 (40.5%)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80 (40.2%)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80 (40.8%)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 workers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51 (12.9%)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28 (14.1%)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23 (11.7%)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4+ workers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50 (12.7%)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34 (17.1%)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16 (8.16%)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  Bedrooms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0.002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0.50%</w:t>
            </w:r>
          </w:p>
        </w:tc>
      </w:tr>
      <w:tr>
        <w:trPr>
          <w:trHeight w:val="616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 bedrooms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(0.25%)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 (0%)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(0.51%)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bedroom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96 (24.3%)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43 (21.6%)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53 (27.0%)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 bedrooms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153 (38.7%)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67 (33.7%)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86 (43.9%)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 bedrooms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87 (22.0%)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50 (25.1%)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37 (18.9%)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4+ bedrooms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58 (14.7%)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39 (19.6%)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19 (9.69%)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Education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0.237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2.02%</w:t>
            </w:r>
          </w:p>
        </w:tc>
      </w:tr>
      <w:tr>
        <w:trPr>
          <w:trHeight w:val="618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 formal / incomplete primary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16 (4.11%)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 (5.05%)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 (3.14%)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62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Complete primary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36 (9.25%)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16 (8.08%)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 (10.5%)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Incomplete secondary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24 (6.17%)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15 (7.58%)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 (4.71%)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62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Complete secondary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136 (35.0%)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57 (28.8%)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79 (41.4%)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618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Incomplete high school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48 (12.3%)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27 (13.6%)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21 (11.0%)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621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Complete high school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90 (23.1%)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52 (26.3%)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38 (19.9%)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618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University or higher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39 (10.0%)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21 (10.6%)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18 (9.42%)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Employed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268 (70.3%)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138 (69.7%)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130 (71.0%)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0.823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4.03%</w:t>
            </w:r>
          </w:p>
        </w:tc>
      </w:tr>
      <w:tr>
        <w:trPr>
          <w:trHeight w:val="616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Employment type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0.448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46.3%</w:t>
            </w:r>
          </w:p>
        </w:tc>
      </w:tr>
      <w:tr>
        <w:trPr>
          <w:trHeight w:val="616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Informal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153 (71.8%)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81 (74.3%)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72 (69.2%)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Formal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60 (28.2%)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28 (25.7%)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32 (30.8%)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621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Smoking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114 (29.8%)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57 (28.5%)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57 (31.3%)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0.577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3.78%</w:t>
            </w:r>
          </w:p>
        </w:tc>
      </w:tr>
      <w:tr>
        <w:trPr>
          <w:trHeight w:val="619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Chronic pain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108 (27.2%)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55 (27.4%)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53 (27.0%)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&gt;0.999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0%</w:t>
            </w:r>
          </w:p>
        </w:tc>
      </w:tr>
      <w:tr>
        <w:trPr>
          <w:trHeight w:val="616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Chronic disease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65 (16.4%)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24 (11.9%)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41 (20.9%)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0.021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0%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000000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8"/>
                <w:szCs w:val="18"/>
                <w:color w:val="555555"/>
              </w:rPr>
            </w:pP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vertAlign w:val="superscript"/>
                <w:sz w:val="18"/>
                <w:szCs w:val="18"/>
                <w:color w:val="555555"/>
              </w:rPr>
              <w:t xml:space="preserve">1</w:t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8"/>
                <w:szCs w:val="18"/>
                <w:color w:val="555555"/>
              </w:rPr>
              <w:t xml:space="preserve">Mean (SD) for continuous variables; n (%) for categorical variables.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8"/>
                <w:szCs w:val="18"/>
                <w:color w:val="555555"/>
              </w:rPr>
            </w:pP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vertAlign w:val="superscript"/>
                <w:sz w:val="18"/>
                <w:szCs w:val="18"/>
                <w:color w:val="555555"/>
              </w:rPr>
              <w:t xml:space="preserve">2</w:t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8"/>
                <w:szCs w:val="18"/>
                <w:color w:val="555555"/>
              </w:rPr>
              <w:t xml:space="preserve">Wilcoxon rank sum test; Kruskal-Wallis rank sum test; Fisher's exact test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palomacz</cp:lastModifiedBy>
  <cp:revision>9</cp:revision>
  <dcterms:created xsi:type="dcterms:W3CDTF">2017-02-28T11:18:00Z</dcterms:created>
  <dcterms:modified xsi:type="dcterms:W3CDTF">2026-03-24T19:10:41Z</dcterms:modified>
  <cp:category/>
</cp:coreProperties>
</file>