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S2. Water-related variables and PSS by season)**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Season</w:t>
            </w:r>
          </w:p>
        </w:tc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Rainy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PSS-14 total score (0–56)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(7.2)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 (6.9)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0.967</w:t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stress (0–18)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(11.1%)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stress (19–37)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319 (80.6%)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 (83.5%)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152 (77.6%)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stress (38–56)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(8.33%)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(7.00%)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(9.69%)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8.4 (6.1)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 (5.7)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9.8 (6.2)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binary — Young 2019 (≥12 = insecure)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secure (0–11)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286 (72.0%)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 (77.6%)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130 (66.3%)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insecure (≥12)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 (28.0%)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 (22.4%)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 (33.7%)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Frongillo et al. 2024 (4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to marginal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 (19.4%)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(3–11)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104 (51.7%)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(53.6%)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 (31.6%)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(24–36)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(2.04%)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Jepson et al. 2021 (5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Marginal (0–3)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 (25.4%)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 (31.8%)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 (18.9%)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(4–11)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185 (46.6%)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 (45.8%)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 (47.4%)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(24.4%)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(19.9%)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(29.1%)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(21–29)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(2.49%)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(4.59%)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Severe (30–36)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(0–15)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 (3.0)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 (2.7)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 (3.2)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— binary (high 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 (48.4%)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116 (57.7%)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 (38.8%)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205 (51.6%)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 (42.3%)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 (61.2%)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 (0–9)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2.8 (1.9)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**HWISE individual items**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2.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4. Changed plans due to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5.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6.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7.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8.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9. Felt angry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10.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11.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12. Felt shame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0.997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Continuous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(28.3%)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 (32.6%)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(24.2%)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Intermittent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 (67.4%)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 (73.2%)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(2.58%)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Daily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160 (82.1%)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113 (58.9%)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4–6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(10.3%)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(7.18%)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(13.5%)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 (19.1%)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(10.8%)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(27.6%)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85.6 (69.7)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 (70.0)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(69.0)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1–2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(13.1%)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(8.25%)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 (18.0%)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3–5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(14.9%)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(11.3%)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6–7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 (72.1%)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 (80.4%)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 (63.5%)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296 (76.3%)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 (81.7%)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135 (70.7%)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No/Low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 (21.9%)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(17.8%)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(26.2%)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(1.80%)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2026-03-24T19:10:42Z</dcterms:modified>
  <cp:category/>
</cp:coreProperties>
</file>