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S3. Water-related variables and PSS by neighborhood (n = 397)**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8" w:hRule="auto"/>
          <w:tblHeader/>
        </w:trPr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Neighborhood</w:t>
            </w:r>
          </w:p>
        </w:tc>
        <w:tc>
          <w:tcPr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</w:t>
            </w:r>
          </w:p>
        </w:tc>
      </w:tr>
      <w:tr>
        <w:trPr>
          <w:trHeight w:val="740" w:hRule="auto"/>
          <w:tblHeader/>
        </w:trPr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Overall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 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 = 397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1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Water Secure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 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 = 196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1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Water Insecure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 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 = 201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1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2</w:t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PSS-14 total score (0–56)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27.2 (7.2)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27.0 (7.7)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27.5 (6.8)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0.538</w:t>
            </w:r>
          </w:p>
        </w:tc>
      </w:tr>
      <w:tr>
        <w:trPr>
          <w:trHeight w:val="573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Perceived stress level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0.470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 stress (0–18)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 (11.1%)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 (12.8%)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(9.50%)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Moderate stress (19–37)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319 (80.6%)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153 (78.1%)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166 (83.0%)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 stress (38–56)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 (8.33%)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(9.18%)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(7.50%)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total score (0–36)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8.4 (6.1)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8.0 (6.5)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8.8 (5.7)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0.072</w:t>
            </w:r>
          </w:p>
        </w:tc>
      </w:tr>
      <w:tr>
        <w:trPr>
          <w:trHeight w:val="621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binary — Young 2019 (≥12 = insecure)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0.577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 secure (0–11)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286 (72.0%)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144 (73.5%)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142 (70.6%)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 insecure (≥12)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111 (28.0%)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 (26.5%)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 (29.4%)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— Frongillo et al. 2024 (4 cat.)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0.240</w:t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to marginal (0–2)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 (19.4%)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 (23.0%)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 (15.9%)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 (3–11)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209 (52.6%)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 (50.5%)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 (54.7%)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Moderate (12–23)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 (26.4%)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 (24.5%)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 (28.4%)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 (24–36)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(1.51%)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(2.04%)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(1.00%)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— Jepson et al. 2021 (5 cat.)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0.241</w:t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Marginal (0–3)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101 (25.4%)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 (29.6%)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 (21.4%)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 (4–11)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185 (46.6%)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 (43.9%)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 (49.3%)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Moderate (12–20)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97 (24.4%)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 (22.4%)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 (26.4%)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 (21–29)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(3.53%)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(4.08%)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(2.99%)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Severe (30–36)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Water 5-item subscale (0–15)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 (3.0)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 (3.3)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3.3 (2.7)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0.107</w:t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Water 5-item subscale — binary (high ≥3)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0.109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 (0–2)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192 (48.4%)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103 (52.6%)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 (44.3%)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 (≥3)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205 (51.6%)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 (47.4%)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112 (55.7%)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Water worry subscale (0–9)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 (1.8)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 (1.9)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 (1.8)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0.067</w:t>
            </w:r>
          </w:p>
        </w:tc>
      </w:tr>
      <w:tr>
        <w:trPr>
          <w:trHeight w:val="577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**HWISE individual items**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 Worried about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 (1.1)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0.837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2. Water interrupted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0.436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3. Unable to wash clothes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0.285</w:t>
            </w:r>
          </w:p>
        </w:tc>
      </w:tr>
      <w:tr>
        <w:trPr>
          <w:trHeight w:val="621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4. Changed plans due to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0.225</w:t>
            </w:r>
          </w:p>
        </w:tc>
      </w:tr>
      <w:tr>
        <w:trPr>
          <w:trHeight w:val="617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5. Unable to prepare food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 (0.8)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 (0.8)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 (0.7)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0.811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6. Unable to wash hands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 (0.6)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 (0.6)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 (0.5)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0.699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7. Unable to wash body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 (0.8)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0.394</w:t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8. No drinking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 (0.7)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 (0.7)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 (0.6)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0.808</w:t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9. Felt angry about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0.055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10. Went to sleep thirsty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 (0.5)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 (0.5)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 (0.5)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0.099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11. Had no water at all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0.185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12. Felt shame about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 (0.6)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 (0.4)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 (0.6)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0.012</w:t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Supply continuity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Continuous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108 (28.3%)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97 (51.1%)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(5.76%)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Intermittent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268 (70.3%)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 (47.9%)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177 (92.7%)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(1.31%)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(1.05%)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(1.57%)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Supply frequency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Daily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273 (70.5%)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155 (81.6%)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118 (59.9%)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4–6 days/week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 (10.3%)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(8.42%)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 (12.2%)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1–3 days/week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 (19.1%)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(10.0%)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 (27.9%)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Hours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85.6 (69.7)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136.3 (56.9)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38.4 (41.9)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Days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1–2 days/week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 (13.1%)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(6.84%)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 (19.2%)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3–5 days/week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 (14.9%)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 (11.6%)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 (18.1%)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6–7 days/week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276 (72.1%)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155 (81.6%)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 (62.7%)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Adequate water pressure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0.064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296 (76.3%)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140 (72.5%)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156 (80.0%)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No/Low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 (21.9%)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 (24.4%)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 (19.5%)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(1.80%)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(3.11%)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(0.51%)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vertAlign w:val="superscript"/>
                <w:sz w:val="18"/>
                <w:szCs w:val="18"/>
                <w:color w:val="555555"/>
              </w:rPr>
              <w:t xml:space="preserve">1</w:t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  <w:t xml:space="preserve">Mean (SD);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vertAlign w:val="superscript"/>
                <w:sz w:val="18"/>
                <w:szCs w:val="18"/>
                <w:color w:val="555555"/>
              </w:rPr>
              <w:t xml:space="preserve">2</w:t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  <w:t xml:space="preserve">Wilcoxon rank sum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2026-03-24T19:10:43Z</dcterms:modified>
  <cp:category/>
</cp:coreProperties>
</file>