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(HWISE-Adjusted)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PSS models ranked by AIC. β = unstandardised regression coefficient; 95% CI = confidence interval. Adj. R² = adjusted R-squared of the full model; Δ Adj. R² = change over core-covariate-only model. All models adjusted for age, SES, household size, chronic disease, and HWISE total score. p_adj (BH) = F-test p-value adjusted using the Benjamini-Hochberg procedure across all Aim 2 PSS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[-0.00, 0.00]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[-1.41, 2.05]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2,058.1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[-0.01, 0.02]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 [-0.73, 2.40]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 [-2.63, 0.97]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-2.86 [-5.28, -0.44]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[-0.13,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[-1.12, 2.35]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[-2.48, 1.47]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 [-2.26, 1.24]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 [-4.47, -0.57]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-0.50 [-3.11, 2.12]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 [-1.87, 2.14]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0.892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[-0.84, 0.81]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 [-3.24, 0.76]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 [-2.36, 1.48]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 [-2.64, 0.64]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[-1.55, 1.42]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0.967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(HWISE-Adjusted)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HWISE-adjusted Aim 2 emotion models ranked by AIC. OR = odds ratio; 95% CI = confidence interval. McFadden R² = pseudo-R² of the full model; Δ McFadden R² = change over core-covariate-only model. All models adjusted for age, SES, household size, perceived stress (PSS), chronic disease, and HWISE total score. p_adj (BH) = LRT p-value adjusted using the Benjamini-Hochberg procedure across all Aim 2 emotion models.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p_adj (BH)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[1.00,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 [0.68, 2.38]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9.11 [4.32, 20.30]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[0.99,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 [1.05, 3.42]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 [1.75, 7.05]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 [0.79, 2.42]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 [0.81, 4.99]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 [0.58, 2.25]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[0.82, 7.88]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 [1.21, 5.87]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[0.82, 4.37]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[1.40, 5.51]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 [1.70, 7.35]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 [0.49, 0.92]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 [0.85, 2.46]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 [0.50, 1.65]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2026-03-29T15:01:58Z</dcterms:modified>
  <cp:category/>
</cp:coreProperties>
</file>