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Sample characteristics by season**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8" w:hRule="auto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Season of data collection</w:t>
            </w:r>
          </w:p>
        </w:tc>
        <w:tc>
          <w:tcPr>
            <w:tcBorders>
              <w:bottom w:val="none" w:sz="0" w:space="0" w:color="000000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397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Rainy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201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196</w:t>
            </w:r>
          </w:p>
        </w:tc>
        <w:tc>
          <w:tcPr>
            <w:tcBorders>
              <w:bottom w:val="single" w:sz="12" w:space="0" w:color="2C3E5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32.3 (7.4)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33.2 (7.1)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31.3 (7.6)</w:t>
            </w:r>
          </w:p>
        </w:tc>
        <w:tc>
          <w:tcPr>
            <w:tcBorders>
              <w:bottom w:val="single" w:sz="4" w:space="0" w:color="BDC3C7"/>
              <w:top w:val="single" w:sz="12" w:space="0" w:color="2C3E5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neighborhood, Mean (SD)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22.4 (11.4)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22.7 (11.3)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 (11.5)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Household size, Mean (SD)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 (3.6)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 (4.3)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 (1.7)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Parity, Mean (SD)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 (1.3)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 (1.2)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 (1.3)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0.309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SES (NSE-AMAI),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(3.58%)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(2.54%)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D-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 (13.8%)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(16.0%)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D+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(15.3%)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C-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 (23.0%)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(23.9%)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(22.2%)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 (23.5%)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(22.3%)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(24.7%)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C+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(13.6%)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(17.3%)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(9.79%)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 (7.16%)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Bathrooms,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0.078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bathrooms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119 (30.3%)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 (25.9%)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 (34.7%)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bathroom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191 (48.6%)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 (49.2%)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 (48.0%)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2+ bathrooms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 (21.1%)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 (24.9%)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(17.3%)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Car ownership,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cars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277 (70.5%)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 (66.8%)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 (74.2%)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car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 (26.2%)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(27.6%)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(24.7%)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2+ cars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(3.31%)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(5.53%)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Internet access,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305 (77.2%)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157 (78.9%)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148 (75.5%)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0.472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Workers in household,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worker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 (33.4%)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 (28.1%)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 (38.8%)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160 (40.5%)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 (40.2%)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 (40.8%)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 (12.9%)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 (14.1%)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4+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(12.7%)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(17.1%)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(8.16%)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Bedrooms,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(0.25%)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bedroom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 (24.3%)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(27.0%)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153 (38.7%)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 (33.7%)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 (43.9%)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 (22.0%)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(25.1%)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 (18.9%)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4+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 (14.7%)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(19.6%)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(9.69%)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Education (category),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formal / incomplete primary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(4.11%)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(5.05%)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(3.14%)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Complete primary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(9.25%)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(8.08%)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(10.5%)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Incomplete secondary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(6.17%)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(7.58%)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(4.71%)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Complete secondary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136 (35.0%)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(28.8%)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 (41.4%)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Incomplete high school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(12.3%)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 (13.6%)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(11.0%)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Complete high school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 (23.1%)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 (26.3%)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(19.9%)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University or higher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(10.0%)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(10.6%)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(9.42%)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Employed,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 (70.3%)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138 (69.7%)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130 (71.0%)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Employment type,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0.448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Informal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153 (71.8%)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 (74.3%)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 (69.2%)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Formal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(28.2%)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 (25.7%)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 (30.8%)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Smoking,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114 (29.8%)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(28.5%)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(31.3%)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Chronic pain,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 (27.2%)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(27.4%)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(27.0%)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Chronic disease, n (%)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 (16.4%)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(11.9%)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 (20.9%)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4F6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1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Wilcoxon rank sum test; NA;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2026-03-23T14:43:28Z</dcterms:modified>
  <cp:category/>
</cp:coreProperties>
</file>