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4"/>
            <w:tcBorders>
              <w:bottom w:val="none" w:sz="0" w:space="0" w:color="000000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2E6DA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Table S1.3. Missing data by season (% true NA)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2E6DA4"/>
              <w:top w:val="none" w:sz="0" w:space="0" w:color="000000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4" w:space="0" w:color="2E6DA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FFFFFF"/>
              </w:rPr>
              <w:t xml:space="preserve">Dry (n=196)</w:t>
            </w:r>
          </w:p>
        </w:tc>
        <w:tc>
          <w:tcPr>
            <w:tcBorders>
              <w:bottom w:val="single" w:sz="4" w:space="0" w:color="2E6DA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FFFFFF"/>
              </w:rPr>
              <w:t xml:space="preserve">Rainy (n=201)</w:t>
            </w:r>
          </w:p>
        </w:tc>
        <w:tc>
          <w:tcPr>
            <w:tcBorders>
              <w:bottom w:val="single" w:sz="4" w:space="0" w:color="2E6DA4"/>
              <w:top w:val="none" w:sz="0" w:space="0" w:color="000000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8.2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7.5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6.6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SES category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Employed (yes/no)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6.6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Employment type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Smoking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7.1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Hormonal treatment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7.1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Medication use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6.6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Chronic pain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2E6DA4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Note. Values are percentage of true NAs within each season group.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p-value from chi-square test (Fisher’s exact if any cell &lt; 5) comparing proportion missing between seasons.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2026-03-23T14:43:32Z</dcterms:modified>
  <cp:category/>
</cp:coreProperties>
</file>