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576"/>
        <w:gridCol w:w="2592"/>
        <w:gridCol w:w="576"/>
        <w:gridCol w:w="1008"/>
        <w:gridCol w:w="1152"/>
        <w:gridCol w:w="864"/>
      </w:tblGrid>
      <w:tr>
        <w:trPr>
          <w:trHeight w:val="360" w:hRule="auto"/>
          <w:tblHeader/>
        </w:trPr>
        <w:tc>
          <w:tcPr>
            <w:gridSpan w:val="7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Unadj1. Unadjusted Linear Regression: Predictors of Perceived Stress Score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(95% CI)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Sig.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 (-0.19, 0.00)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0.057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0.124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2,680.2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 (-0.56, 0.63)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2,583.3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(-0.22, 0.20)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2,560.1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-0.08 (-0.14, -0.01)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0.025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2,474.3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 (-0.02, 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2,661.1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-0.50 (-0.92, -0.09)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2,640.3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(-1.40, 1.83)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 (-2.89, 1.52)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1,450.8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1.36 (-0.25, 2.96)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2,694.1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3.00 (1.09, 4.91)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2,687.4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0.22 (0.11, 0.34)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0.38 (0.14, 0.61)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2,687.0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1.88 (0.46, 3.30)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2,690.1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1.92 (0.18, 3.67)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3.59 (1.65, 5.52)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0.62 (0.24, 1.01)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2,686.7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(-1.44, 1.42)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 (-1.02, 1.85)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1.72 (0.09, 3.34)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2,553.5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 (-2.05, 2.76)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 (-0.28, 3.44)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 (-0.58, 0.12)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2,597.8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(-0.02, 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2,466.1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 (-0.73, 2.76)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2,584.7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Highlighted rows: p &lt; 0.05 (shown in amber). Sig.: † p&lt;0.10, * p&lt;0.05, ** p&lt;0.01, *** p&lt;0.001. p-value: unadjusted two-sided Wald test. q-value (BH): p-value corrected for multiple comparisons using the Benjamini-Hochberg false discovery rate (FDR) procedure across all predictors in this table. A q-value &lt; 0.05 indicates the result is expected to remain significant while controlling the FDR at 5%. AIC: Akaike Information Criterion; lower = better fit.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2026-03-23T10:40:25Z</dcterms:modified>
  <cp:category/>
</cp:coreProperties>
</file>