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81"/>
        <w:gridCol w:w="1080"/>
        <w:gridCol w:w="1974"/>
        <w:gridCol w:w="1080"/>
        <w:gridCol w:w="1195"/>
        <w:gridCol w:w="1605"/>
      </w:tblGrid>
      <w:tr>
        <w:trPr>
          <w:trHeight w:val="608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2E6D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Unadj1. Unadjusted Linear Regression — Perceived Stress Score (PSS)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-0.09 [-0.19, 0.00]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2,680.2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0.097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 [-0.56, 0.63]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2,583.3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0.960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[-0.22, 0.20]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2,560.1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0.960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-0.08 [-0.14, -0.01]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2,474.3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0.059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[-0.02,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2,661.1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0.960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-0.50 [-0.92, -0.09]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2,640.3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0.051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0.21 [-1.40, 1.83]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2,596.3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0.895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-0.69 [-2.89, 1.52]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1,450.8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0.672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1.36 [-0.25, 2.96]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2,694.1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0.152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3.00 [1.09, 4.91]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0.22 [0.11, 0.34]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2,682.5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 [0.14, 0.61]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2,687.0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1.88 [0.46, 3.30]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0.029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[0.18, 3.67]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0.065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3.59 [1.65, 5.52]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0.62 [0.24, 1.01]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items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HW1: Worried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 [0.30, 1.69]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2,689.0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HW2: Water interrupted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0.85 [0.11, 1.58]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2,691.7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0.059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HW3: Unable to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1.16 [0.43, 1.89]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2,687.1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HW4: Changed plans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0.81 [0.09, 1.52]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2,692.0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0.062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HW5: Unable to prepare food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0.95 [0.01, 1.89]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0.087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HW6: Unable to wash hands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0.44 [-0.78, 1.65]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0.618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HW7: Unable to wash body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1.10 [0.29, 1.92]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2,689.9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HW8: No drinking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1.47 [0.38, 2.56]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2,689.8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HW9: 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1.12 [0.35, 1.90]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2,688.8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HW10: Went to sleep thirsty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2.55 [1.18, 3.92]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2,683.7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HW11: Had 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0.75 [0.01, 1.50]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0.087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HW12: 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0.50 [-0.80, 1.80]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0.597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[-1.44, 1.42]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0.989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0.41 [-1.02, 1.85]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0.684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1.72 [0.09, 3.34]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2,553.5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0.076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 [-2.05, 2.76]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0.895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1.58 [-0.28, 3.44]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0.152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-0.23 [-0.58, 0.12]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2,597.8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0.300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[-0.02,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2,466.1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0.467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1.02 [-0.73, 2.76]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2,584.7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0.366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predictor entered in a separate unadjusted linear regression model. Predictor groups: Demographics (Age, Parity, Household size, Years in neighborhood); Socioeconomic (SES composite score, Education, Employed, Employment type); Health (Chronic pain, Chronic disease); HWISE (total score, 5-item subscale variants, HWISE categorical, Water worry subscale); HWISE items (each item separately); Water supply variables. β = unstandardised regression coefficient; 95% CI = confidence interval.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81"/>
        <w:gridCol w:w="1080"/>
        <w:gridCol w:w="1995"/>
        <w:gridCol w:w="1080"/>
        <w:gridCol w:w="1195"/>
        <w:gridCol w:w="1605"/>
      </w:tblGrid>
      <w:tr>
        <w:trPr>
          <w:trHeight w:val="571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2E6D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Unadj2. Unadjusted Logistic Regression — Negative Emotional Response to Water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 [0.98, 1.04]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468.0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0.572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 [0.93, 1.33]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0.315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 [0.95, 1.08]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445.8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 [0.98, 1.02]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0.687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464.4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0.483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0.95 [0.84, 1.08]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0.550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1.41 [0.88, 2.25]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0.212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1.18 [0.60, 2.39]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237.6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0.667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1.41 [0.86, 2.34]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469.6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0.238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0.86 [0.49, 1.56]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471.2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0.667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PSS-14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1.08 [1.05, 1.12]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446.3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[1.19, 1.33]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1.52 [1.36, 1.72]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395.9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5.29 [3.31, 8.60]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419.7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3.91 [2.30, 6.76]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20.22 [9.39, 48.06]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2.00 [1.69, 2.40]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items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HW1: Worried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2.53 [1.95, 3.35]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414.8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HW2: Water interrupted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2.14 [1.67, 2.78]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432.6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HW3: Unable to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2.73 [2.06, 3.70]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HW4: Changed plans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2.66 [1.99, 3.67]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HW5: Unable to prepare food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2.58 [1.74, 4.05]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444.7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HW6: Unable to wash hands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1.76 [1.16, 2.83]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464.0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0.018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HW7: Unable to wash body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2.32 [1.70, 3.26]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438.8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HW8: No drinking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2.38 [1.60, 3.67]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HW9: 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2.91 [2.15, 4.03]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414.5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HW10: Went to sleep thirsty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1.55 [1.00, 2.49]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467.6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0.086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HW11: Had 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1.74 [1.33, 2.32]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453.6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HW12: 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2.57 [1.50, 4.95]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0.003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1.16 [0.75, 1.79]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471.0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0.572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1.48 [0.96, 2.30]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468.3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0.108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3.04 [1.87, 4.99]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421.6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3.94 [1.70, 10.77]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3.51 [1.85, 7.17]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0.76 [0.66, 0.86]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433.0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410.4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4.75 [2.44, 10.17]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429.5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predictor entered in a separate unadjusted logistic regression model. Outcome: negative water-related emotion (1) vs. positive (0). Predictor groups: Demographics (Age, Parity, Household size, Years in neighborhood); Socioeconomic (SES composite score, Education, Employed, Employment type); Health (Chronic pain, Chronic disease, PSS total); HWISE (total score, 5-item subscale variants, HWISE categorical, Water worry subscale); HWISE items (each item separately); Water supply variables. OR = odds ratio; 95% CI = confidence interval. OR &gt; 1 = higher odds of negative response.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sectPr>
      <w:pgMar w:header="708" w:bottom="1152" w:top="1152" w:right="1296" w:left="1296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2026-03-23T10:40:28Z</dcterms:modified>
  <cp:category/>
</cp:coreProperties>
</file>