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Aim 2 — Top 5 Emotion Models (Logistic Regression)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5 emotion models ranked by AIC. OR = odds ratio; 95% CI = confidence interval. McFadden R² = pseudo-R² of the full model; Δ McFadden R² = change over core-covariate-only model. All models adjusted for age, SES, household size, years in neighborhood, perceived stress (PSS), and chronic disease. p_adj (BH) = LRT p-value adjusted using the Benjamini-Hochberg procedure across all Aim 2 emotion models.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33"/>
        <w:gridCol w:w="4433"/>
        <w:gridCol w:w="3676"/>
        <w:gridCol w:w="778"/>
        <w:gridCol w:w="2123"/>
        <w:gridCol w:w="1743"/>
        <w:gridCol w:w="1963"/>
        <w:gridCol w:w="961"/>
        <w:gridCol w:w="1218"/>
        <w:gridCol w:w="1462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#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Focal 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p_adj (BH)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m_b6: Hours of water supply/week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[0.99, 1.00]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HW_WORRY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Worry about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 [1.97, 3.64]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m_b10: Excessive time handling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 [3.58, 14.10]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m_b5 – 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wash 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2.78 [2.02, 3.93]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m_b7: Intermittent supply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 vs. continuous supply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 [1.86, 5.52]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2026-03-23T08:26:37Z</dcterms:modified>
  <cp:category/>
</cp:coreProperties>
</file>