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 Models m_a1–m_a4.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3755"/>
        <w:gridCol w:w="912"/>
        <w:gridCol w:w="1658"/>
        <w:gridCol w:w="119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[-5.54, -0.29]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 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†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[-2.06,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[-2.92,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[-2.75, 3.30]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 Models m_b1–m_b4.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78"/>
        <w:gridCol w:w="3755"/>
        <w:gridCol w:w="839"/>
        <w:gridCol w:w="1512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[1.22,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[0.64, 4.37]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 *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 †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2.22]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A — Model Fit Statistics (m_a1–m_a4)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 — Model fit statistics (core models m_a1–m_a4). Green = best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44"/>
        <w:gridCol w:w="1010"/>
        <w:gridCol w:w="3205"/>
        <w:gridCol w:w="778"/>
        <w:gridCol w:w="961"/>
        <w:gridCol w:w="1083"/>
        <w:gridCol w:w="1145"/>
        <w:gridCol w:w="1145"/>
        <w:gridCol w:w="93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Predictors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ΔAIC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— Perceived Stress Score (linear)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m_a2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2,535.1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— Perceived Stress Score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— Perceived Stress Score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11.2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— Perceived Stress Score (linear)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m_a4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14.8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 — Model Fit Statistics (m_b1–m_b4)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 — Model fit statistics (core models m_b1–m_b4). Green = best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56"/>
        <w:gridCol w:w="1010"/>
        <w:gridCol w:w="3205"/>
        <w:gridCol w:w="778"/>
        <w:gridCol w:w="1743"/>
        <w:gridCol w:w="961"/>
        <w:gridCol w:w="961"/>
        <w:gridCol w:w="936"/>
      </w:tblGrid>
      <w:tr>
        <w:trPr>
          <w:trHeight w:val="57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Predictors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ΔAIC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— Water-related emotion (logistic)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m_b1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4EDD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— Water-related emotion (logistic)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— Water-related emotion (logistic)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m_b3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59.1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 — Water-related emotion (logistic)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m_b4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999999"/>
              </w:rPr>
              <w:t xml:space="preserve">61.0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2026-03-23T10:40:43Z</dcterms:modified>
  <cp:category/>
</cp:coreProperties>
</file>