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  <w:gridCol w:w="576"/>
        <w:gridCol w:w="2592"/>
        <w:gridCol w:w="576"/>
        <w:gridCol w:w="1008"/>
        <w:gridCol w:w="1152"/>
        <w:gridCol w:w="864"/>
      </w:tblGrid>
      <w:tr>
        <w:trPr>
          <w:trHeight w:val="360" w:hRule="auto"/>
          <w:tblHeader/>
        </w:trPr>
        <w:tc>
          <w:tcPr>
            <w:gridSpan w:val="7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UV2. Unadjusted Logistic Regression: Predictors of Negative Emotional Response to Water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(95% CI)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Sig.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361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(0.98, 1.04)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0.527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0.627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468.1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(0.93, 1.33)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450.9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(0.95, 1.08)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445.8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(0.98, 1.02)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433.1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(0.99, 1.00)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464.4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 (0.84, 1.08)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 (0.88, 2.25)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 (0.60, 2.39)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237.6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 (0.86, 2.34)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469.6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 (0.49, 1.56)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PSS-14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1.08 (1.05, 1.12)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446.3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1.25 (1.19, 1.33)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381.2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1.52 (1.36, 1.72)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395.9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(high ≥ 3): High (ref: Low/none)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5.29 (3.31, 8.60)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419.7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Low (4-11)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3.91 (2.30, 6.76)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398.5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Moderate/Severe (≥12)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20.22 (9.39, 48.06)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398.5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Water worry subscale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2.00 (1.69, 2.40)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386.9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 (0.75, 1.79)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471.0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 (0.96, 2.30)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468.3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343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3.04 (1.87, 4.99)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421.6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3.94 (1.70, 10.77)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439.8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3.51 (1.85, 7.17)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439.8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349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0.76 (0.66, 0.86)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433.0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332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0.99 (0.99, 1.00)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410.4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Adequate water pressure: No/Low (ref: Yes)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4.75 (2.44, 10.17)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429.5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Highlighted rows: p &lt; 0.05 (shown in blue). OR: odds ratio from binary logistic regression (outcome: negative emotion = 1 vs. positive = 0); OR &gt; 1 indicates higher odds of negative emotional response. Sig.: † p&lt;0.10, * p&lt;0.05, ** p&lt;0.01, *** p&lt;0.001. p-value: unadjusted two-sided Wald test. q-value (BH): p-value corrected for multiple comparisons using the Benjamini-Hochberg false discovery rate (FDR) procedure across all predictors in this table. A q-value &lt; 0.05 indicates the result is expected to remain significant while controlling the FDR at 5%. AIC: Akaike Information Criterion; lower = better fit.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2026-03-23T08:10:07Z</dcterms:modified>
  <cp:category/>
</cp:coreProperties>
</file>