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PSS models ranked by AIC. β = unstandardised regression coefficient; 95% CI = confidence interval. Adj. R² = adjusted R-squared of the full model; Δ Adj. R² = change over core-covariate-only model. All models adjusted for age, SES, household size, and chronic disease.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5"/>
        <w:gridCol w:w="4421"/>
        <w:gridCol w:w="3700"/>
        <w:gridCol w:w="778"/>
        <w:gridCol w:w="2147"/>
        <w:gridCol w:w="1083"/>
        <w:gridCol w:w="1303"/>
        <w:gridCol w:w="1145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[-0.01, 0.01]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[-0.14,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[-0.42, 2.93]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[-1.02, 2.62]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 [-1.02, 2.20]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[-2.17, 3.00]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 [-1.05, 2.89]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 [-1.21,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 [0.45, 2.01]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HW_SLEEP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[0.68, 3.69]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[0.28,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 [0.14, 1.61]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[0.17, 1.93]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 [0.12, 1.66]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 [-2.91, 1.12]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 [-2.33, 1.58]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[-0.04, 2.26]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 [-0.08, 1.93]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[-0.21,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[-0.27,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[-0.87, 1.81]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m_a8: Season (dry vs.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[-2.10, 1.17]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[-1.06, 1.50]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</w:tr>
      <w:tr>
        <w:trPr>
          <w:trHeight w:val="62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m_a18: Neighborhood (WS/WI)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[-1.35, 1.65]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emotion models ranked by AIC. OR = odds ratio; 95% CI = confidence interval. McFadden R² = pseudo-R² of the full model; Δ McFadden R² = change over core-covariate-only model. All models adjusted for age, SES, household size, perceived stress (PSS), and chronic disease.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5"/>
        <w:gridCol w:w="4433"/>
        <w:gridCol w:w="3700"/>
        <w:gridCol w:w="778"/>
        <w:gridCol w:w="2123"/>
        <w:gridCol w:w="1743"/>
        <w:gridCol w:w="1963"/>
        <w:gridCol w:w="961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[0.99,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6.17 [3.35, 12.11]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 [1.83, 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[1.91, 3.61]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[1.90, 3.68]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 [1.79, 5.17]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 [2.40, 10.74]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[1.88, 3.68]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[0.35, 0.62]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3.76 [1.87, 8.15]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4.72 [1.83, 14.76]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 [1.49, 2.55]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 [1.65, 3.38]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 [1.66, 4.24]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[1.28, 4.32]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 [2.09, 7.84]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 [1.44, 3.50]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 [1.59, 6.29]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 [1.22, 2.20]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[1.14, 2.95]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m_b18: Neighborhood (WS/WI)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 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m_b8: Season (dry vs.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 [0.88, 2.51]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61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HW_SLEEP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2026-03-23T14:44:29Z</dcterms:modified>
  <cp:category/>
</cp:coreProperties>
</file>