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Panel A. Linear regression — Perceived Stress Score (PSS)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A. Linear regression — Perceived Stress Score (β). Models m_a1–m_a4. Covariates excluded.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66"/>
        <w:gridCol w:w="3755"/>
        <w:gridCol w:w="912"/>
        <w:gridCol w:w="1658"/>
        <w:gridCol w:w="119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a1: 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0.38]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a2: 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[-5.54, -0.28]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 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 †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a3: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[-1.35, 1.64]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0.848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a4: WI neighbourhood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[-2.07, 2.10]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[-2.91, 1.69]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 (Dry)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[-2.74, 3.31]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Panel B. Logistic regression — Water-related emotion (negative vs. positive)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B. Logistic regression — Water-related emotion (OR). Models m_b1–m_b4. Covariates excluded.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78"/>
        <w:gridCol w:w="3755"/>
        <w:gridCol w:w="839"/>
        <w:gridCol w:w="1512"/>
        <w:gridCol w:w="1279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b1: 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[1.18, 1.35]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b2: 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[1.22, 1.52]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[0.63, 4.35]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b3: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[1.08, 2.80]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 *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b4: WI neighbourhood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[0.97, 3.59]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 †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3.28]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 (Dry)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[0.32, 2.21]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0.734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Panel A — Model Fit Statistics (m_a1–m_a4)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A — Model fit statistics (core models m_a1–m_a4). Green = best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44"/>
        <w:gridCol w:w="1010"/>
        <w:gridCol w:w="3205"/>
        <w:gridCol w:w="778"/>
        <w:gridCol w:w="961"/>
        <w:gridCol w:w="1083"/>
        <w:gridCol w:w="1145"/>
        <w:gridCol w:w="1145"/>
        <w:gridCol w:w="93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Predictors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Adj.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ΔAIC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— Perceived Stress Score (linear)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m_a2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2,500.1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— Perceived Stress Score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— Perceived Stress Score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11.2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— Perceived Stress Score (linear)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m_a4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14.9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Panel B — Model Fit Statistics (m_b1–m_b4)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B — Model fit statistics (core models m_b1–m_b4). Green = best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56"/>
        <w:gridCol w:w="1010"/>
        <w:gridCol w:w="3205"/>
        <w:gridCol w:w="778"/>
        <w:gridCol w:w="1743"/>
        <w:gridCol w:w="961"/>
        <w:gridCol w:w="961"/>
        <w:gridCol w:w="936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Predictors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McFadden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ΔAIC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— Water-related emotion (logistic)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m_b1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— Water-related emotion (logistic)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— Water-related emotion (logistic)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59.0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— Water-related emotion (logistic)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m_b4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450.9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60.9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2026-03-23T09:17:54Z</dcterms:modified>
  <cp:category/>
</cp:coreProperties>
</file>