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Aim 2 (HWISE-Adjusted) — All PSS Models (Linear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HWISE-adjusted Aim 2 PSS models ranked by AIC. β = unstandardised regression coefficient; 95% CI = confidence interval. Adj. R² = adjusted R-squared of the full model; Δ Adj. R² = change over core-covariate-only model. All models adjusted for age, SES, household size, chronic disease, and HWISE total score. p_adj (BH) = F-test p-value adjusted using the Benjamini-Hochberg procedure across all Aim 2 PSS models.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55"/>
        <w:gridCol w:w="4421"/>
        <w:gridCol w:w="3700"/>
        <w:gridCol w:w="778"/>
        <w:gridCol w:w="2147"/>
        <w:gridCol w:w="1083"/>
        <w:gridCol w:w="1303"/>
        <w:gridCol w:w="1145"/>
        <w:gridCol w:w="1218"/>
        <w:gridCol w:w="1462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m_a6: Hours of water supply/week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[-0.01, 0.02]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m_a_loc: 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[-0.13,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2,371.3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m_a7: Intermittent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 [-1.12, 2.35]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m_a16: Water 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 [-2.48, 1.47]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21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m_a17: Supply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 [-3.11, 2.12]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  <w:tr>
        <w:trPr>
          <w:trHeight w:val="6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[-1.87, 2.14]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m_a10: Excessive time handling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 [-2.25, 1.23]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</w:tr>
      <w:tr>
        <w:trPr>
          <w:trHeight w:val="62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m_a11: Sufficiency 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[-0.84, 0.81]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  <w:tr>
        <w:trPr>
          <w:trHeight w:val="621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m_a9: Neighborhood comparison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 [-3.24, 0.76]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2,496.7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</w:tr>
      <w:tr>
        <w:trPr>
          <w:trHeight w:val="6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 [-2.36, 1.48]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m_a8: Season (dry vs. rainy)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 [-2.64, 0.64]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2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m_a18: Neighborhood (WS/WI)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[-1.55, 1.42]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Aim 2 (HWISE-Adjusted) — All Emotion Models (Logistic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HWISE-adjusted Aim 2 emotion models ranked by AIC. OR = odds ratio; 95% CI = confidence interval. McFadden R² = pseudo-R² of the full model; Δ McFadden R² = change over core-covariate-only model. All models adjusted for age, SES, household size, perceived stress (PSS), chronic disease, and HWISE total score. p_adj (BH) = LRT p-value adjusted using the Benjamini-Hochberg procedure across all Aim 2 emotion models.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55"/>
        <w:gridCol w:w="4433"/>
        <w:gridCol w:w="3700"/>
        <w:gridCol w:w="778"/>
        <w:gridCol w:w="2001"/>
        <w:gridCol w:w="1743"/>
        <w:gridCol w:w="1963"/>
        <w:gridCol w:w="961"/>
        <w:gridCol w:w="1218"/>
        <w:gridCol w:w="1462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m_b6: Hours of water supply/week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[0.99, 1.00]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m_b7: Intermittent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 [1.05, 3.42]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m_b10: Excessive time handling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3.48 [1.79, 7.12]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m_b_loc: 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[0.97,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</w:t>
            </w:r>
          </w:p>
        </w:tc>
      </w:tr>
      <w:tr>
        <w:trPr>
          <w:trHeight w:val="621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m_b17: Supply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 [0.82, 7.88]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2.58 [1.21, 5.87]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m_b16: Water 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 [0.82, 4.37]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</w:tr>
      <w:tr>
        <w:trPr>
          <w:trHeight w:val="621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m_b9: Neighborhood comparison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 [1.40, 5.51]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 [1.70, 7.35]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2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m_b11: Sufficiency 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 [0.49, 0.92]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m_b18: Neighborhood (WS/WI)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 [0.85, 2.46]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m_b8: Season (dry vs. rainy)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 [0.50, 1.65]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2026-03-23T14:45:02Z</dcterms:modified>
  <cp:category/>
</cp:coreProperties>
</file>