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81"/>
        <w:gridCol w:w="1080"/>
        <w:gridCol w:w="1974"/>
        <w:gridCol w:w="1080"/>
        <w:gridCol w:w="1195"/>
        <w:gridCol w:w="1605"/>
      </w:tblGrid>
      <w:tr>
        <w:trPr>
          <w:trHeight w:val="608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2E6D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UV1. Univariable Linear Regression — Perceived Stress Score (PSS)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-0.09 [-0.19, 0.00]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2,680.4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0.135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 [-0.56, 0.63]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2,583.3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0.974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 [-0.22, 0.20]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2,560.1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0.974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-0.08 [-0.14, -0.01]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2,474.3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0.025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0.074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Socioeconomic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 [-0.02,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2,661.1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0.891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0.974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-0.50 [-0.92, -0.09]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2,640.3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0.063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0.21 [-1.40, 1.83]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2,596.3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0.955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212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-0.69 [-2.89, 1.52]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1,450.8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0.541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0.760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Health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1.36 [-0.25, 2.96]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2,694.1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0.179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3.00 [1.09, 4.91]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2,687.4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0.010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0.22 [0.11, 0.34]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2,682.5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0.004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0.38 [0.14, 0.61]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2,687.0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0.010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1.88 [0.46, 3.30]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2,690.1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0.039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1.92 [0.18, 3.67]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2,685.7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0.030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0.081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3.59 [1.65, 5.52]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2,685.7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0.004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0.62 [0.24, 1.01]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2,686.7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0.010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 [-1.44, 1.42]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2,696.9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0.989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0.41 [-1.02, 1.85]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2,696.5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0.570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0.760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1.72 [0.09, 3.34]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2,553.5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0.091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0.36 [-2.05, 2.76]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2,626.5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0.955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1.58 [-0.28, 3.44]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2,626.5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0.179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-0.23 [-0.58, 0.12]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2,597.8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0.343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 [-0.02, 0.01]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2,466.1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0.338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0.506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1.02 [-0.73, 2.76]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2,584.7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0.406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2E6DA4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predictor entered in a separate univariable linear regression model. Predictor groups: Demographics (Age, Parity, Household size, Years in neighborhood); Socioeconomic (SES composite score, Education, Employed, Employment type); Health (Chronic pain, Chronic disease); HWISE (total score, 5-item subscale variants, HWISE categorical, Water worry subscale); HWISE items (each item separately); Water supply variables. β = unstandardised regression coefficient; 95% CI = confidence interval. AIC = Akaike Information Criterion (lower = better fit). p-value: unadjusted two-sided Wald test. q-value (BH): p-value adjusted for multiple comparisons using the Benjamini–Hochberg false discovery rate procedure across all predictors for this outcome. Green rows: BH-adjusted q &lt; 0.05. Bold blue: unadjusted p &lt; 0.05.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81"/>
        <w:gridCol w:w="1080"/>
        <w:gridCol w:w="1995"/>
        <w:gridCol w:w="1080"/>
        <w:gridCol w:w="1195"/>
        <w:gridCol w:w="1605"/>
      </w:tblGrid>
      <w:tr>
        <w:trPr>
          <w:trHeight w:val="571" w:hRule="auto"/>
          <w:tblHeader/>
        </w:trPr>
        <w:tc>
          <w:tcPr>
            <w:gridSpan w:val="6"/>
            <w:tcBorders>
              <w:bottom w:val="single" w:sz="12" w:space="0" w:color="666666"/>
              <w:top w:val="single" w:sz="12" w:space="0" w:color="1A3A5C"/>
              <w:left w:val="single" w:sz="12" w:space="0" w:color="1A3A5C"/>
              <w:right w:val="single" w:sz="12" w:space="0" w:color="1A3A5C"/>
            </w:tcBorders>
            <w:shd w:val="clear" w:color="auto" w:fill="2E6DA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UV2. Univariable Logistic Regression — Negative Emotional Response to Water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12" w:space="0" w:color="1A3A5C"/>
              <w:top w:val="single" w:sz="12" w:space="0" w:color="666666"/>
              <w:left w:val="single" w:sz="12" w:space="0" w:color="1A3A5C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1A3A5C"/>
              <w:top w:val="single" w:sz="12" w:space="0" w:color="666666"/>
              <w:left w:val="none" w:sz="0" w:space="0" w:color="000000"/>
              <w:right w:val="single" w:sz="12" w:space="0" w:color="1A3A5C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12" w:space="0" w:color="1A3A5C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12" w:space="0" w:color="1A3A5C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1.01 [0.98, 1.04]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468.1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0.527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0.627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1.11 [0.93, 1.33]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450.9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0.364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1.01 [0.95, 1.08]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445.8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0.687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1.00 [0.98, 1.02]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433.1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0.684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0.687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Socioeconomic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1.00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464.4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0.391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0.544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0.95 [0.84, 1.08]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461.6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0.461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0.607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1.41 [0.88, 2.25]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452.9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0.258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190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1.18 [0.60, 2.39]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237.6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0.685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Health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1.41 [0.86, 2.34]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469.6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0.180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0.281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0.86 [0.49, 1.56]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471.2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0.614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0.685</w:t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PSS-14 total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1.08 [1.05, 1.12]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446.3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HWISE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85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 total score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1.25 [1.19, 1.33]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381.2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1.52 [1.36, 1.72]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395.9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5.29 [3.31, 8.60]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419.7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3.91 [2.30, 6.76]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20.22 [9.39, 48.06]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398.5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8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Water worry subscale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2.00 [1.69, 2.40]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386.9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46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Water supply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EAF2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8C8C8C"/>
              </w:rPr>
              <w:t xml:space="preserve"/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1.16 [0.75, 1.79]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471.0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0.627</w:t>
            </w:r>
          </w:p>
        </w:tc>
      </w:tr>
      <w:tr>
        <w:trPr>
          <w:trHeight w:val="593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1.48 [0.96, 2.30]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468.3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8C8C8C"/>
              </w:rPr>
              <w:t xml:space="preserve">0.135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3.04 [1.87, 4.99]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421.6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3.94 [1.70, 10.77]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439.8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0.003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0.006</w:t>
            </w:r>
          </w:p>
        </w:tc>
      </w:tr>
      <w:tr>
        <w:trPr>
          <w:trHeight w:val="591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354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3.51 [1.85, 7.17]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439.8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349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0.76 [0.66, 0.86]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433.0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90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332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 [0.99, 1.00]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410.4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589" w:hRule="auto"/>
        </w:trPr>
        <w:tc>
          <w:tcPr>
            <w:tcBorders>
              <w:bottom w:val="single" w:sz="4" w:space="0" w:color="2E6DA4"/>
              <w:top w:val="single" w:sz="4" w:space="0" w:color="2E6DA4"/>
              <w:left w:val="single" w:sz="12" w:space="0" w:color="1A3A5C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4.75 [2.44, 10.17]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429.5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none" w:sz="0" w:space="0" w:color="000000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A5276"/>
              </w:rPr>
              <w:t xml:space="preserve">&lt;0.001</w:t>
            </w:r>
          </w:p>
        </w:tc>
        <w:tc>
          <w:tcPr>
            <w:tcBorders>
              <w:bottom w:val="single" w:sz="4" w:space="0" w:color="2E6DA4"/>
              <w:top w:val="single" w:sz="4" w:space="0" w:color="2E6DA4"/>
              <w:left w:val="none" w:sz="0" w:space="0" w:color="000000"/>
              <w:right w:val="single" w:sz="12" w:space="0" w:color="1A3A5C"/>
            </w:tcBorders>
            <w:shd w:val="clear" w:color="auto" w:fill="D5F5E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9"/>
                <w:szCs w:val="19"/>
                <w:color w:val="1E8449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4" w:space="0" w:color="2E6DA4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Each predictor entered in a separate univariable logistic regression model. Outcome: negative water-related emotion (1) vs. positive (0). Predictor groups: Demographics (Age, Parity, Household size, Years in neighborhood); Socioeconomic (SES composite score, Education, Employed, Employment type); Health (Chronic pain, Chronic disease, PSS total); HWISE (total score, 5-item subscale variants, HWISE categorical, Water worry subscale); HWISE items (each item separately); Water supply variables. OR = odds ratio; 95% CI = confidence interval. OR &gt; 1 = higher odds of negative response. AIC = Akaike Information Criterion (lower = better fit). p-value: unadjusted two-sided Wald test. q-value (BH): p-value adjusted for multiple comparisons using the Benjamini–Hochberg false discovery rate procedure across all predictors for this outcome. Green rows: BH-adjusted q &lt; 0.05. Bold blue: unadjusted p &lt; 0.05.</w:t>
            </w:r>
          </w:p>
        </w:tc>
      </w:tr>
    </w:tbl>
    <w:sectPr>
      <w:pgMar w:header="708" w:bottom="1152" w:top="1152" w:right="1296" w:left="1296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2026-03-21T17:17:48Z</dcterms:modified>
  <cp:category/>
</cp:coreProperties>
</file>