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1. Sample characteristics by season**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01"/>
        <w:gridCol w:w="1475"/>
        <w:gridCol w:w="1475"/>
        <w:gridCol w:w="1475"/>
        <w:gridCol w:w="1181"/>
      </w:tblGrid>
      <w:tr>
        <w:trPr>
          <w:trHeight w:val="578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Season of data collection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9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399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Rainy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Dry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197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 (7.4)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33.2 (7.1)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31.3 (7.6)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Years in neighborhood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22.4 (11.4)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22.8 (11.3)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22.0 (11.5)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Household size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 (3.5)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 (1.7)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SES (NSE-AMAI)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formal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Incomplete primary (1–5 yrs)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Complete 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Incomplete secondary (7–8 yrs)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Complete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Incomplete high school (10–11 yrs)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Complete high school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Incomplete university (13–15 yrs)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Complete university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Postgraduate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Employed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269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138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131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Employment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268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Occasionally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Chronic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Chronic disease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(17%)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(21%)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Welch Two Sample t-test; Pearson's Chi-squared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2026-03-16T15:22:13Z</dcterms:modified>
  <cp:category/>
</cp:coreProperties>
</file>