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S1. Sample characteristics — full variable set (n = 399)**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1"/>
        <w:gridCol w:w="1475"/>
        <w:gridCol w:w="1475"/>
        <w:gridCol w:w="1475"/>
        <w:gridCol w:w="1181"/>
        <w:gridCol w:w="1633"/>
      </w:tblGrid>
      <w:tr>
        <w:trPr>
          <w:trHeight w:val="616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By season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Rainy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 (7.4)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 (7.1)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 (7.6)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0.8%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 (11.5)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SES (NSE-AMAI)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primary (1–5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secondary (7–8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high school (10–11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university (13–15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Postgraduate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Currently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Employment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Hormonal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12%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Regular medication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16%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0.8%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(17%)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Welch Two Sample t-test;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2026-03-16T15:22:14Z</dcterms:modified>
  <cp:category/>
</cp:coreProperties>
</file>