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Sample characteristics by water insecurity level (n = 389)**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1"/>
        <w:gridCol w:w="1475"/>
        <w:gridCol w:w="1597"/>
        <w:gridCol w:w="2085"/>
        <w:gridCol w:w="2281"/>
        <w:gridCol w:w="2025"/>
        <w:gridCol w:w="1181"/>
      </w:tblGrid>
      <w:tr>
        <w:trPr>
          <w:trHeight w:val="621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level (HWISE)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81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 (7.4)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 (6.5)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 (7.2)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 (8.1)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 (4.7)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 (12.3)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 (11.5)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 (11.0)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 (9.3)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Parity (n children)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SES (NSE-AMAI)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primary (1–5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secondary (7–8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high school (10–11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university (13–15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Postgraduate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PSS-14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 (7.2)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 (7.3)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 (10.0)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Perceived stress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stress (≤22)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stress (23-31)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stress (≥32)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(67%)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One-way analysis of means;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2026-03-16T15:22:16Z</dcterms:modified>
  <cp:category/>
</cp:coreProperties>
</file>