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**Table. Objective water supply characteristics by neighborhood (n = 397)**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3371"/>
        <w:gridCol w:w="3738"/>
        <w:gridCol w:w="3248"/>
        <w:gridCol w:w="1181"/>
      </w:tblGrid>
      <w:tr>
        <w:trPr>
          <w:trHeight w:val="618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Neighborhood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74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Secure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Insecure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source (Season 2 only)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Supply continuity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Intermittent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Reduced pressure/flow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Supply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4–6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1–3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Intermittent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85.3 (69.6) / 42.0 [21.0, 168.0]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136.1 (56.8) / 168.0 [126.0, 168.0]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 (41.8) / 24.5 [17.5, 38.5]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Adequate water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No/Low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Mean (SD) / Median [Q1, Q3]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NA; Pearson's Chi-squared test; Welch Two Sample t-test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2026-03-16T15:22:17Z</dcterms:modified>
  <cp:category/>
</cp:coreProperties>
</file>