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**Table. HWISE item scores by season (n = 399)**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93"/>
        <w:gridCol w:w="1780"/>
        <w:gridCol w:w="1780"/>
        <w:gridCol w:w="1780"/>
        <w:gridCol w:w="1181"/>
        <w:gridCol w:w="1181"/>
      </w:tblGrid>
      <w:tr>
        <w:trPr>
          <w:trHeight w:val="578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Season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399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Rainy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Dry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q-value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 Worried about water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 Water interrupted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3. Unable to wash 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4. Changed plans due to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5. Unable to prepare 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274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6. Unable to wash hands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7. Unable to wash body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8. No water to drink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9. Felt angry about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10. Lost sleep over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306 (77%)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11. Had no water at 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12. Felt shame about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330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Water worry subscale (items 1+9)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HWISE total score (0–36)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 (3.0, 12.0)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(2.0, 11.0)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 (5.0, 14.0)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Water insecurity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Secure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Marginal (1-11)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254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 (12-23)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Severe (24-36)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 for continuous; n (%) for categorical.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rank-sum for item scores/totals; chi-square for categories.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FDR-adjusted p-value (Benjamini-Hochberg).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2026-03-16T15:22:19Z</dcterms:modified>
  <cp:category/>
</cp:coreProperties>
</file>