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(HWISE-Adjusted)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PSS models ranked by AIC. β = unstandardised regression coefficient; 95% CI = confidence interval. Adj. R² = adjusted R-squared of the full model; Δ Adj. R² = change over core-covariate-only model. All models adjusted for age, SES, household size, chronic disease, and HWISE total score.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[-0.00, 0.00]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[-1.41, 2.05]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[-0.01, 0.02]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[-0.73, 2.40]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 [-2.63,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-2.86 [-5.28, -0.44]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[-0.13,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[-1.12, 2.35]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[-2.48, 1.47]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 [-2.26, 1.24]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 [-4.47, -0.57]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[-3.11, 2.12]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[-1.87, 2.14]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[-0.84, 0.81]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 [-3.24, 0.76]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 [-2.36, 1.48]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[-2.64, 0.64]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[-1.55, 1.42]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(HWISE-Adjusted)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emotion models ranked by AIC. OR = odds ratio; 95% CI = confidence interval. McFadden R² = pseudo-R² of the full model; Δ McFadden R² = change over core-covariate-only model. All models adjusted for age, SES, household size, perceived stress (PSS), chronic disease, and HWISE total score.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[1.00,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 [0.68, 2.38]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9.11 [4.32, 20.30]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 [1.05, 3.42]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 [1.75, 7.05]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 [0.79, 2.42]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 [0.81, 4.99]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 [0.58, 2.25]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[0.82, 7.88]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 [1.21, 5.87]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[0.82,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[1.40, 5.51]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 [1.70, 7.35]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[0.49,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 [0.85, 2.46]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 [0.50, 1.65]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2026-03-29T15:07:41Z</dcterms:modified>
  <cp:category/>
</cp:coreProperties>
</file>