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Sample characteristics by season**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Season of data collection</w:t>
            </w:r>
          </w:p>
        </w:tc>
        <w:tc>
          <w:tcPr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Rainy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Dry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Age, Mean (SD)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32.2 (7.4)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33.2 (7.1)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31.3 (7.6)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22.4 (11.4)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22.7 (11.3)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22.1 (11.5)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Household size,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 (3.6)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 (4.3)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 (1.7)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Parity,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0.309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SES (NSE-AMAI),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(13.8%)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(16.0%)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(15.3%)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(22.2%)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(23.5%)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(22.3%)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(9.79%)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(7.16%)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Bathrooms,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bathrooms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(30.3%)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(25.9%)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(34.7%)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bathroom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191 (48.6%)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(49.2%)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 (48.0%)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2+ bathrooms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 (21.1%)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 (24.9%)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Car ownership,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cars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277 (70.5%)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 (66.8%)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 (74.2%)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car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(26.2%)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2+ cars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(3.31%)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(5.53%)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Internet access,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305 (77.2%)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 (78.9%)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148 (75.5%)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0.472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Workers in household,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workers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worker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 (33.4%)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 (28.1%)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(38.8%)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workers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 (40.5%)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(40.2%)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(40.8%)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workers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(12.9%)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(14.1%)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4+ workers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(12.7%)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(8.16%)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Bedrooms,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bedrooms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(0.25%)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bedroom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 (24.3%)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bedrooms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(38.7%)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 (33.7%)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 (43.9%)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bedrooms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 (22.0%)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(25.1%)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(18.9%)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4+ bedrooms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 (14.7%)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(19.6%)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Education (category),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formal / incomplete primary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(4.11%)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(5.05%)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primary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(9.25%)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(8.08%)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(10.5%)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secondary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(6.17%)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(7.58%)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(4.71%)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secondary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 (35.0%)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 (41.4%)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high school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(12.3%)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(11.0%)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high school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(19.9%)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University or higher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(9.42%)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Employed,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 (69.7%)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 (71.0%)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Employment type,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0.448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(71.8%)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 (74.3%)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(69.2%)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Formal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(28.2%)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(25.7%)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(30.8%)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Smoking,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 (29.8%)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(31.3%)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0.577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pain,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(27.2%)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disease,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(16.4%)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(20.9%)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NA;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2026-03-21T14:22:14Z</dcterms:modified>
  <cp:category/>
</cp:coreProperties>
</file>