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32"/>
        <w:gridCol w:w="576"/>
        <w:gridCol w:w="2592"/>
        <w:gridCol w:w="576"/>
        <w:gridCol w:w="1008"/>
        <w:gridCol w:w="1152"/>
        <w:gridCol w:w="864"/>
      </w:tblGrid>
      <w:tr>
        <w:trPr>
          <w:trHeight w:val="360" w:hRule="auto"/>
          <w:tblHeader/>
        </w:trPr>
        <w:tc>
          <w:tcPr>
            <w:gridSpan w:val="7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Table UV1. Univariable Linear Regression: Predictors of Perceived Stress Score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β (95% CI)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Sig.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q-value (BH)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394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 (-0.19, 0.00)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0.135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2,680.4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 (-0.56, 0.63)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2,583.3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 (-0.22, 0.20)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2,560.1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Years in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-0.08 (-0.14, -0.01)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0.025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0.074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2,474.3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 (-0.02, 0.01)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2,661.1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Education (ordinal score)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388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-0.50 (-0.92, -0.09)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0.018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2,640.3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Employed: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 (-1.40, 1.83)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2,596.3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Employment type: Formal (ref: Informal)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-0.69 (-2.89, 1.52)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1,450.8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pain: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1.36 (-0.25, 2.96)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2,694.1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Chronic disease: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3.00 (1.09, 4.91)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2,687.4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 total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0.22 (0.11, 0.34)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2,682.5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0.38 (0.14, 0.61)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2,687.0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5-item subscale (high ≥ 3): High (ref: Low/none)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1.88 (0.46, 3.30)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0.039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2,690.1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HWISE: Low (4-11) (ref: Marginal (0-3))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1.92 (0.18, 3.67)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0.030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0.081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2,685.7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HWISE: Moderate/Severe (≥12) (ref: Marginal (0-3))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3.59 (1.65, 5.52)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2,685.7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Water worry subscale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0.62 (0.24, 1.01)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2,686.7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Season: Dry (ref: Rainy)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 (-1.44, 1.42)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2,696.9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Neighborhood: Water Insecure (ref: Water Secure)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 (-1.02, 1.85)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2,696.5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Supply continuity: Intermittent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375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1.72 (0.09, 3.34)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0.038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2,553.5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frequency: 4–6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 (-2.05, 2.76)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2,626.5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frequency: 1–3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1.58 (-0.28, 3.44)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2,626.5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 (-0.58, 0.12)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2,597.8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 (-0.02, 0.01)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2,466.1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Adequate water pressure: No/Low (ref: Yes)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 (-0.73, 2.76)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2,584.7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4" w:space="0" w:color="BDC3C7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  <w:t xml:space="preserve">Highlighted rows: p &lt; 0.05 (shown in amber). Sig.: † p&lt;0.10, * p&lt;0.05, ** p&lt;0.01, *** p&lt;0.001. p-value: unadjusted two-sided Wald test. q-value (BH): p-value corrected for multiple comparisons using the Benjamini-Hochberg false discovery rate (FDR) procedure across all predictors in this table. A q-value &lt; 0.05 indicates the result is expected to remain significant while controlling the FDR at 5%. AIC: Akaike Information Criterion; lower = better fit.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2026-03-21T14:23:52Z</dcterms:modified>
  <cp:category/>
</cp:coreProperties>
</file>