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p_adj (BH)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m_b13: Water worry subscale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1.92 [1.61, 2.33]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0.209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0.150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355.4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m_b15: 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1.53 [1.36, 1.75]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357.9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m_b6: Hours of water supply/week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m_b12: HWISE (categorical)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3.48 [1.97, 6.24]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0.185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0.126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367.4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16.99 [7.41, 43.43]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m_b10: Excessive time handling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6.18 [3.35, 12.13]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373.6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Top 5 models ranked by AIC (lower = better fit). OR = odds ratio; 95% CI = confidence interval. McFadden R² = pseudo-R² of the full model; Δ McFadden R² = change over core-covariate-only model. p_adj (BH) = LRT p-value adjusted using the Benjamini-Hochberg procedure across all Aim 2 emotion models. Blue rows: BH-adjusted p &lt; 0.05. Bold blue: unadjusted p &lt; 0.05.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2026-03-21T14:22:49Z</dcterms:modified>
  <cp:category/>
</cp:coreProperties>
</file>