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#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Focal predictor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2C3E5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p_adj (BH)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m_a6: Hours of water supply/week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 [-0.01, 0.01]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2,267.9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0.928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m_a7: Intermittent supply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CONT_INTIntermittent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1.25 [-0.42, 2.93]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2,396.7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m_a16: Water pressure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0.80 [-1.01, 2.62]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0.026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2,400.3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0.565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m_a10: Excessive time handling water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Excessive time managing water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0.59 [-1.02, 2.20]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0.030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2,442.8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0.472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0.644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m_a17: Supply frequency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days/wk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0.42 [-2.16, 3.00]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0.024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2,443.1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0.749</w:t>
            </w:r>
          </w:p>
        </w:tc>
        <w:tc>
          <w:tcPr>
            <w:vMerge w:val="restart"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0.757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days/wk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0.92 [-1.05, 2.89]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0.360</w:t>
            </w:r>
          </w:p>
        </w:tc>
        <w:tc>
          <w:tcPr>
            <w:vMerge/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Top 5 models ranked by AIC (lower = better fit). β = unstandardised regression coefficient; 95% CI = confidence interval. Adj. R² = adjusted R-squared of the full model; Δ Adj. R² = change over core-covariate-only model. p_adj (BH) = F-test p-value adjusted using the Benjamini-Hochberg procedure across all Aim 2 PSS models. Amber rows: BH-adjusted p &lt; 0.05. Bold blue: unadjusted p &lt; 0.05.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2026-03-21T14:23:00Z</dcterms:modified>
  <cp:category/>
</cp:coreProperties>
</file>