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Panel A. Linear regression — Perceived Stress Score (PSS)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Panel A. Linear regression — Perceived Stress Score (β). Models m_a1–m_a4. Covariates excluded.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66"/>
        <w:gridCol w:w="3755"/>
        <w:gridCol w:w="912"/>
        <w:gridCol w:w="1658"/>
        <w:gridCol w:w="119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p-value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a1: HWISE reduced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[0.09, 0.38]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 **</w:t>
            </w:r>
          </w:p>
        </w:tc>
      </w:tr>
      <w:tr>
        <w:trPr>
          <w:trHeight w:val="613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a2: HWISE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[-0.10, 0.33]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[-5.54, -0.28]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 *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[-0.03, 0.56]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 †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a3: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[-1.35, 1.64]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0.848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a4: WI neighbourhood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[-2.07, 2.10]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0.989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[-2.91, 1.69]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0.603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 neighbourhood × Season (Dry)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[-2.74, 3.31]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0.854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Panel B. Logistic regression — Water-related emotion (negative vs. positive)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Panel B. Logistic regression — Water-related emotion (OR). Models m_b1–m_b4. Covariates excluded.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78"/>
        <w:gridCol w:w="3755"/>
        <w:gridCol w:w="839"/>
        <w:gridCol w:w="1512"/>
        <w:gridCol w:w="1279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p-value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b1: HWISE reduced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[1.18, 1.35]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13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b2: HWISE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[1.22, 1.52]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[0.63, 4.35]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1.03]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b3: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[1.08, 2.80]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 *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b4: WI neighbourhood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[0.97, 3.59]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 †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3.28]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 neighbourhood × Season (Dry)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[0.32, 2.21]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2026-03-21T13:36:08Z</dcterms:modified>
  <cp:category/>
</cp:coreProperties>
</file>