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3653"/>
        <w:gridCol w:w="3091"/>
        <w:gridCol w:w="1080"/>
        <w:gridCol w:w="1995"/>
        <w:gridCol w:w="1663"/>
        <w:gridCol w:w="1835"/>
        <w:gridCol w:w="1080"/>
        <w:gridCol w:w="1234"/>
        <w:gridCol w:w="1421"/>
      </w:tblGrid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p_adj (BH)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m_b13: Water worry subscale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[1.61, 2.33]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355.4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m_b15: 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1.53 [1.36, 1.75]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m_b6: Hours of water supply/week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593" w:hRule="auto"/>
        </w:trPr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4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m_b12: HWISE (categorical)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3.48 [1.97, 6.24]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vMerge w:val="restart"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593" w:hRule="auto"/>
        </w:trPr>
        <w:tc>
          <w:tcPr>
            <w:vMerge/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16.99 [7.41, 43.43]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m_b10: Excessive time handling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6.18 [3.35, 12.13]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373.6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vMerge/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Top 5 models ranked by AIC (lower = better fit). OR = odds ratio; 95% CI = confidence interval. McFadden R² = pseudo-R² of the full model; Δ McFadden R² = change over core-covariate-only model. p_adj (BH) = LRT p-value adjusted using the Benjamini-Hochberg procedure across all Aim 2 emotion models. Green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2026-03-21T13:36:01Z</dcterms:modified>
  <cp:category/>
</cp:coreProperties>
</file>