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3653"/>
        <w:gridCol w:w="3082"/>
        <w:gridCol w:w="1080"/>
        <w:gridCol w:w="1911"/>
        <w:gridCol w:w="1116"/>
        <w:gridCol w:w="1288"/>
        <w:gridCol w:w="1080"/>
        <w:gridCol w:w="1234"/>
        <w:gridCol w:w="1421"/>
      </w:tblGrid>
      <w:tr>
        <w:trPr>
          <w:trHeight w:val="590" w:hRule="auto"/>
          <w:tblHeader/>
        </w:trPr>
        <w:tc>
          <w:tcPr>
            <w:tcBorders>
              <w:bottom w:val="single" w:sz="12" w:space="0" w:color="1A3A5C"/>
              <w:top w:val="single" w:sz="12" w:space="0" w:color="1A3A5C"/>
              <w:left w:val="single" w:sz="12" w:space="0" w:color="1A3A5C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#</w:t>
            </w:r>
          </w:p>
        </w:tc>
        <w:tc>
          <w:tcPr>
            <w:tcBorders>
              <w:bottom w:val="single" w:sz="12" w:space="0" w:color="1A3A5C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Model</w:t>
            </w:r>
          </w:p>
        </w:tc>
        <w:tc>
          <w:tcPr>
            <w:tcBorders>
              <w:bottom w:val="single" w:sz="12" w:space="0" w:color="1A3A5C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Focal predictor</w:t>
            </w:r>
          </w:p>
        </w:tc>
        <w:tc>
          <w:tcPr>
            <w:tcBorders>
              <w:bottom w:val="single" w:sz="12" w:space="0" w:color="1A3A5C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</w:t>
            </w:r>
          </w:p>
        </w:tc>
        <w:tc>
          <w:tcPr>
            <w:tcBorders>
              <w:bottom w:val="single" w:sz="12" w:space="0" w:color="1A3A5C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β [95% CI]</w:t>
            </w:r>
          </w:p>
        </w:tc>
        <w:tc>
          <w:tcPr>
            <w:tcBorders>
              <w:bottom w:val="single" w:sz="12" w:space="0" w:color="1A3A5C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Adj. R²</w:t>
            </w:r>
          </w:p>
        </w:tc>
        <w:tc>
          <w:tcPr>
            <w:tcBorders>
              <w:bottom w:val="single" w:sz="12" w:space="0" w:color="1A3A5C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Δ Adj. R²</w:t>
            </w:r>
          </w:p>
        </w:tc>
        <w:tc>
          <w:tcPr>
            <w:tcBorders>
              <w:bottom w:val="single" w:sz="12" w:space="0" w:color="1A3A5C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AIC</w:t>
            </w:r>
          </w:p>
        </w:tc>
        <w:tc>
          <w:tcPr>
            <w:tcBorders>
              <w:bottom w:val="single" w:sz="12" w:space="0" w:color="1A3A5C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 (coef.)</w:t>
            </w:r>
          </w:p>
        </w:tc>
        <w:tc>
          <w:tcPr>
            <w:tcBorders>
              <w:bottom w:val="single" w:sz="12" w:space="0" w:color="1A3A5C"/>
              <w:top w:val="single" w:sz="12" w:space="0" w:color="1A3A5C"/>
              <w:left w:val="none" w:sz="0" w:space="0" w:color="000000"/>
              <w:right w:val="single" w:sz="12" w:space="0" w:color="1A3A5C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p_adj (BH)</w:t>
            </w:r>
          </w:p>
        </w:tc>
      </w:tr>
      <w:tr>
        <w:trPr>
          <w:trHeight w:val="590" w:hRule="auto"/>
        </w:trPr>
        <w:tc>
          <w:tcPr>
            <w:tcBorders>
              <w:bottom w:val="single" w:sz="4" w:space="0" w:color="2E6DA4"/>
              <w:top w:val="single" w:sz="12" w:space="0" w:color="1A3A5C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m_a6: Hours of water supply/week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Hours of supply / week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332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-0.00 [-0.01, 0.01]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0.024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-0.003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2,267.9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0.928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0.928</w:t>
            </w:r>
          </w:p>
        </w:tc>
      </w:tr>
      <w:tr>
        <w:trPr>
          <w:trHeight w:val="588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m_a7: Intermittent supply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CONT_INTIntermittent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351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1.25 [-0.42, 2.93]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0.023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0.003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2,396.7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0.143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0.275</w:t>
            </w:r>
          </w:p>
        </w:tc>
      </w:tr>
      <w:tr>
        <w:trPr>
          <w:trHeight w:val="587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m_a16: Water pressure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Water pressure: No/Low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352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0.80 [-1.01, 2.62]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0.026</w:t>
            </w:r>
          </w:p>
        </w:tc>
        <w:tc>
          <w:tcPr>
            <w:vMerge w:val="restart"/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2,400.3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0.384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0.565</w:t>
            </w:r>
          </w:p>
        </w:tc>
      </w:tr>
      <w:tr>
        <w:trPr>
          <w:trHeight w:val="589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m_a10: Excessive time handling water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Excessive time managing water</w:t>
            </w:r>
          </w:p>
        </w:tc>
        <w:tc>
          <w:tcPr>
            <w:vMerge w:val="restart"/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358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0.59 [-1.02, 2.20]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0.030</w:t>
            </w:r>
          </w:p>
        </w:tc>
        <w:tc>
          <w:tcPr>
            <w:vMerge/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2,442.8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0.472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0.644</w:t>
            </w:r>
          </w:p>
        </w:tc>
      </w:tr>
      <w:tr>
        <w:trPr>
          <w:trHeight w:val="591" w:hRule="auto"/>
        </w:trPr>
        <w:tc>
          <w:tcPr>
            <w:vMerge w:val="restart"/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5</w:t>
            </w:r>
          </w:p>
        </w:tc>
        <w:tc>
          <w:tcPr>
            <w:vMerge w:val="restart"/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m_a17: Supply frequency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Supply frequency: 4–6 days/wk</w:t>
            </w:r>
          </w:p>
        </w:tc>
        <w:tc>
          <w:tcPr>
            <w:vMerge/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0.42 [-2.16, 3.00]</w:t>
            </w:r>
          </w:p>
        </w:tc>
        <w:tc>
          <w:tcPr>
            <w:vMerge w:val="restart"/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0.024</w:t>
            </w:r>
          </w:p>
        </w:tc>
        <w:tc>
          <w:tcPr>
            <w:vMerge w:val="restart"/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-0.003</w:t>
            </w:r>
          </w:p>
        </w:tc>
        <w:tc>
          <w:tcPr>
            <w:vMerge w:val="restart"/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2,443.1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0.749</w:t>
            </w:r>
          </w:p>
        </w:tc>
        <w:tc>
          <w:tcPr>
            <w:vMerge w:val="restart"/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0.757</w:t>
            </w:r>
          </w:p>
        </w:tc>
      </w:tr>
      <w:tr>
        <w:trPr>
          <w:trHeight w:val="591" w:hRule="auto"/>
        </w:trPr>
        <w:tc>
          <w:tcPr>
            <w:vMerge/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</w:p>
        </w:tc>
        <w:tc>
          <w:tcPr>
            <w:vMerge/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Supply frequency: 1–3 days/wk</w:t>
            </w:r>
          </w:p>
        </w:tc>
        <w:tc>
          <w:tcPr>
            <w:vMerge/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0.92 [-1.05, 2.89]</w:t>
            </w:r>
          </w:p>
        </w:tc>
        <w:tc>
          <w:tcPr>
            <w:vMerge/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</w:p>
        </w:tc>
        <w:tc>
          <w:tcPr>
            <w:vMerge/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</w:p>
        </w:tc>
        <w:tc>
          <w:tcPr>
            <w:vMerge/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0.360</w:t>
            </w:r>
          </w:p>
        </w:tc>
        <w:tc>
          <w:tcPr>
            <w:vMerge/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</w:p>
        </w:tc>
      </w:tr>
      <w:tr>
        <w:trPr>
          <w:trHeight w:val="360" w:hRule="auto"/>
        </w:trPr>
        <w:tc>
          <w:tcPr>
            <w:gridSpan w:val="10"/>
            <w:tcBorders>
              <w:bottom w:val="none" w:sz="0" w:space="0" w:color="FFFFFF"/>
              <w:top w:val="single" w:sz="4" w:space="0" w:color="2E6DA4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6"/>
                <w:szCs w:val="16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6"/>
                <w:szCs w:val="16"/>
                <w:color w:val="666666"/>
              </w:rPr>
              <w:t xml:space="preserve">Top 5 models ranked by AIC (lower = better fit). β = unstandardised regression coefficient; 95% CI = confidence interval. Adj. R² = adjusted R-squared of the full model; Δ Adj. R² = change over core-covariate-only model. p_adj (BH) = F-test p-value adjusted using the Benjamini-Hochberg procedure across all Aim 2 PSS models. Green rows: BH-adjusted p &lt; 0.05. Bold blue: unadjusted p &lt; 0.05.</w:t>
            </w:r>
          </w:p>
        </w:tc>
      </w:tr>
    </w:tbl>
    <w:sectPr>
      <w:pgMar w:header="708" w:bottom="1152" w:top="1152" w:right="1152" w:left="1152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palomacz</cp:lastModifiedBy>
  <cp:revision>9</cp:revision>
  <dcterms:created xsi:type="dcterms:W3CDTF">2017-02-28T11:18:00Z</dcterms:created>
  <dcterms:modified xsi:type="dcterms:W3CDTF">2026-03-21T13:35:54Z</dcterms:modified>
  <cp:category/>
</cp:coreProperties>
</file>