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PSS (β). Models as columns.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reduced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score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WI neighborhood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reduced score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0.26***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[0.11, 0.40]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[0.09, 0.35]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Water-insecure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[-1.35, 1.65]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 (Dry)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[-2.70, 0.59]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[-2.64, 0.64]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[-2.10, 1.17]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[-0.23, -0.02]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3.36**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[1.33, 5.39]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3.37**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[1.34, 5.40]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3.43**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[1.36, 5.50]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† p&lt;0.1  * p&lt;0.05  ** p&lt;0.01  *** p&lt;0.001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Emotion (OR). Models as columns.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reduced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score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WI neighborhood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reduced score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1.27***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[1.19, 1.36]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HWISE_FULL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[1.17, 1.32]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Water-insecure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1.72*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[1.07, 2.78]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 (Dry)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[0.50, 1.63]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[0.50, 1.65]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[0.86, 2.48]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 total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[1.03, 1.11]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[1.03, 1.11]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[1.05, 1.13]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1.07]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[0.27, 1.19]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[0.27, 1.19]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[0.30, 1.14]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† p&lt;0.1  * p&lt;0.05  ** p&lt;0.01  *** p&lt;0.001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2026-04-01T13:25:22Z</dcterms:modified>
  <cp:category/>
</cp:coreProperties>
</file>