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53A70" w14:textId="45570B77" w:rsidR="00D47101" w:rsidRDefault="00000000">
      <w:pPr>
        <w:spacing w:before="100" w:after="100" w:line="300" w:lineRule="auto"/>
      </w:pPr>
      <w:r>
        <w:rPr>
          <w:color w:val="000000"/>
        </w:rPr>
        <w:t>~1,200–1,500 words</w:t>
      </w:r>
    </w:p>
    <w:p w14:paraId="0315D3C4" w14:textId="77D56E90" w:rsidR="00B62D4A" w:rsidRDefault="00000000">
      <w:pPr>
        <w:spacing w:before="100" w:after="100" w:line="300" w:lineRule="auto"/>
        <w:rPr>
          <w:color w:val="000000"/>
        </w:rPr>
      </w:pPr>
      <w:r>
        <w:rPr>
          <w:color w:val="000000"/>
        </w:rPr>
        <w:t>Access to safe and reliable household water is a basic human need, yet for millions of urban residents in low- and middle-income countries it remains deeply uncertain. Mexico City presents a striking paradox: despite nearly universal piped water infrastructure</w:t>
      </w:r>
      <w:r w:rsidR="00B62D4A">
        <w:rPr>
          <w:color w:val="000000"/>
        </w:rPr>
        <w:t xml:space="preserve"> (%)</w:t>
      </w:r>
      <w:r>
        <w:rPr>
          <w:color w:val="000000"/>
        </w:rPr>
        <w:t>, a substantial share of the population receives water intermittently</w:t>
      </w:r>
      <w:r w:rsidR="00733D7C">
        <w:rPr>
          <w:color w:val="000000"/>
        </w:rPr>
        <w:t xml:space="preserve"> [%]</w:t>
      </w:r>
      <w:r>
        <w:rPr>
          <w:color w:val="000000"/>
        </w:rPr>
        <w:t>, relying on household storage tanks (</w:t>
      </w:r>
      <w:proofErr w:type="spellStart"/>
      <w:r>
        <w:rPr>
          <w:color w:val="000000"/>
        </w:rPr>
        <w:t>tinacos</w:t>
      </w:r>
      <w:proofErr w:type="spellEnd"/>
      <w:r>
        <w:rPr>
          <w:color w:val="000000"/>
        </w:rPr>
        <w:t xml:space="preserve">) and, in many cases, water trucks to supplement insufficient public supply. This tension between infrastructure coverage and water sufficiency is particularly visible in </w:t>
      </w:r>
      <w:proofErr w:type="spellStart"/>
      <w:r>
        <w:rPr>
          <w:color w:val="000000"/>
        </w:rPr>
        <w:t>Iztapalapa</w:t>
      </w:r>
      <w:proofErr w:type="spellEnd"/>
      <w:r>
        <w:rPr>
          <w:color w:val="000000"/>
        </w:rPr>
        <w:t>, the city’s most populous borough (</w:t>
      </w:r>
      <w:proofErr w:type="spellStart"/>
      <w:r>
        <w:rPr>
          <w:color w:val="000000"/>
        </w:rPr>
        <w:t>alcaldía</w:t>
      </w:r>
      <w:proofErr w:type="spellEnd"/>
      <w:r>
        <w:rPr>
          <w:color w:val="000000"/>
        </w:rPr>
        <w:t xml:space="preserve">), which ranks last among Mexico City’s 16 administrative districts in perceived water quality: approximately 70% of </w:t>
      </w:r>
      <w:proofErr w:type="spellStart"/>
      <w:r>
        <w:rPr>
          <w:color w:val="000000"/>
        </w:rPr>
        <w:t>Iztapalapa’s</w:t>
      </w:r>
      <w:proofErr w:type="spellEnd"/>
      <w:r>
        <w:rPr>
          <w:color w:val="000000"/>
        </w:rPr>
        <w:t xml:space="preserve"> residents rate their water as poor or very poor across dimensions of quality, sufficiency, and scarcity (González-Villarreal). </w:t>
      </w:r>
    </w:p>
    <w:p w14:paraId="232F734B" w14:textId="1C5E8BF2" w:rsidR="00B62D4A" w:rsidRDefault="00360ADD">
      <w:pPr>
        <w:spacing w:before="100" w:after="100" w:line="300" w:lineRule="auto"/>
        <w:rPr>
          <w:color w:val="000000"/>
        </w:rPr>
      </w:pPr>
      <w:r>
        <w:rPr>
          <w:color w:val="000000"/>
        </w:rPr>
        <w:t xml:space="preserve">ENSANUT 2020-2024 (National Health Survey) in Mexico: </w:t>
      </w:r>
      <w:r w:rsidR="00000000">
        <w:rPr>
          <w:color w:val="000000"/>
        </w:rPr>
        <w:t>surveys show a 13.6% prevalence of household water insecurity in</w:t>
      </w:r>
      <w:r w:rsidR="00B62D4A">
        <w:rPr>
          <w:color w:val="000000"/>
        </w:rPr>
        <w:t xml:space="preserve"> the</w:t>
      </w:r>
      <w:r w:rsidR="00000000">
        <w:rPr>
          <w:color w:val="000000"/>
        </w:rPr>
        <w:t xml:space="preserve"> Mexico City</w:t>
      </w:r>
      <w:r w:rsidR="00B62D4A">
        <w:rPr>
          <w:color w:val="000000"/>
        </w:rPr>
        <w:t>/State of Mexico region.</w:t>
      </w:r>
      <w:r w:rsidR="00B62D4A" w:rsidRPr="00B62D4A">
        <w:t xml:space="preserve"> </w:t>
      </w:r>
      <w:r w:rsidR="00B62D4A">
        <w:t>nationally representative; 16.2% urban WI across Mexico</w:t>
      </w:r>
      <w:r>
        <w:rPr>
          <w:color w:val="000000"/>
        </w:rPr>
        <w:t xml:space="preserve">. </w:t>
      </w:r>
      <w:r w:rsidR="00B62D4A">
        <w:rPr>
          <w:color w:val="000000"/>
        </w:rPr>
        <w:t xml:space="preserve">Now we know more about how different metrics behave due to the incorporation of </w:t>
      </w:r>
      <w:proofErr w:type="spellStart"/>
      <w:r w:rsidR="00B62D4A">
        <w:rPr>
          <w:color w:val="000000"/>
        </w:rPr>
        <w:t>hwise</w:t>
      </w:r>
      <w:proofErr w:type="spellEnd"/>
      <w:r w:rsidR="00B62D4A">
        <w:rPr>
          <w:color w:val="000000"/>
        </w:rPr>
        <w:t xml:space="preserve"> in </w:t>
      </w:r>
      <w:proofErr w:type="spellStart"/>
      <w:r w:rsidR="00B62D4A">
        <w:rPr>
          <w:color w:val="000000"/>
        </w:rPr>
        <w:t>ensanut</w:t>
      </w:r>
      <w:proofErr w:type="spellEnd"/>
      <w:r w:rsidR="00B62D4A">
        <w:rPr>
          <w:color w:val="000000"/>
        </w:rPr>
        <w:t>.</w:t>
      </w:r>
      <w:r w:rsidR="00B62D4A">
        <w:rPr>
          <w:color w:val="000000"/>
        </w:rPr>
        <w:t xml:space="preserve"> </w:t>
      </w:r>
      <w:r w:rsidR="00B62D4A">
        <w:rPr>
          <w:color w:val="000000"/>
        </w:rPr>
        <w:t xml:space="preserve">have found that important factors to consider </w:t>
      </w:r>
      <w:proofErr w:type="gramStart"/>
      <w:r w:rsidR="00B62D4A">
        <w:rPr>
          <w:color w:val="000000"/>
        </w:rPr>
        <w:t>are:</w:t>
      </w:r>
      <w:proofErr w:type="gramEnd"/>
      <w:r w:rsidR="00B62D4A">
        <w:rPr>
          <w:color w:val="000000"/>
        </w:rPr>
        <w:t xml:space="preserve"> gender, experience of children, relationship with food insecurity and multiplicative effect of having both, higher chances of depression Using HWISE only is useful, but once water supply frequency variable was added, they also discovered industrial beverage consumption in households with intermittent water supply.</w:t>
      </w:r>
    </w:p>
    <w:p w14:paraId="4A244574" w14:textId="77777777" w:rsidR="00733D7C" w:rsidRDefault="00733D7C" w:rsidP="00733D7C">
      <w:pPr>
        <w:pStyle w:val="NormalWeb"/>
        <w:numPr>
          <w:ilvl w:val="0"/>
          <w:numId w:val="3"/>
        </w:numPr>
        <w:spacing w:before="240" w:beforeAutospacing="0" w:after="240" w:afterAutospacing="0"/>
        <w:textAlignment w:val="baseline"/>
        <w:rPr>
          <w:rFonts w:ascii="Arial" w:hAnsi="Arial" w:cs="Arial"/>
          <w:color w:val="000000"/>
          <w:sz w:val="22"/>
          <w:szCs w:val="22"/>
        </w:rPr>
      </w:pPr>
      <w:r>
        <w:rPr>
          <w:rFonts w:ascii="Arial" w:hAnsi="Arial" w:cs="Arial"/>
          <w:color w:val="000000"/>
          <w:sz w:val="22"/>
          <w:szCs w:val="22"/>
        </w:rPr>
        <w:t xml:space="preserve">here is tremendous value in those studies, they are representative at the national level and have revealed important connections to mental health and food insecurity and socioeconomic status. Have traced changes over time, the </w:t>
      </w:r>
      <w:proofErr w:type="gramStart"/>
      <w:r>
        <w:rPr>
          <w:rFonts w:ascii="Arial" w:hAnsi="Arial" w:cs="Arial"/>
          <w:color w:val="000000"/>
          <w:sz w:val="22"/>
          <w:szCs w:val="22"/>
        </w:rPr>
        <w:t>most commonly reported</w:t>
      </w:r>
      <w:proofErr w:type="gramEnd"/>
      <w:r>
        <w:rPr>
          <w:rFonts w:ascii="Arial" w:hAnsi="Arial" w:cs="Arial"/>
          <w:color w:val="000000"/>
          <w:sz w:val="22"/>
          <w:szCs w:val="22"/>
        </w:rPr>
        <w:t xml:space="preserve"> experiences in urban vs rural environments, and the lack of relationship between frequency and intensity of droughts and household water insecurity. </w:t>
      </w:r>
      <w:proofErr w:type="gramStart"/>
      <w:r>
        <w:rPr>
          <w:rFonts w:ascii="Arial" w:hAnsi="Arial" w:cs="Arial"/>
          <w:color w:val="000000"/>
          <w:sz w:val="22"/>
          <w:szCs w:val="22"/>
        </w:rPr>
        <w:t>This studies</w:t>
      </w:r>
      <w:proofErr w:type="gramEnd"/>
      <w:r>
        <w:rPr>
          <w:rFonts w:ascii="Arial" w:hAnsi="Arial" w:cs="Arial"/>
          <w:color w:val="000000"/>
          <w:sz w:val="22"/>
          <w:szCs w:val="22"/>
        </w:rPr>
        <w:t xml:space="preserve"> allow us to have a very extensive understanding of the problematic at the national level. At the same time, the data has only been presented in aggregated forms, do not allow to understand the local experience of places with </w:t>
      </w:r>
      <w:proofErr w:type="gramStart"/>
      <w:r>
        <w:rPr>
          <w:rFonts w:ascii="Arial" w:hAnsi="Arial" w:cs="Arial"/>
          <w:color w:val="000000"/>
          <w:sz w:val="22"/>
          <w:szCs w:val="22"/>
        </w:rPr>
        <w:t>particular infrastructures</w:t>
      </w:r>
      <w:proofErr w:type="gramEnd"/>
      <w:r>
        <w:rPr>
          <w:rFonts w:ascii="Arial" w:hAnsi="Arial" w:cs="Arial"/>
          <w:color w:val="000000"/>
          <w:sz w:val="22"/>
          <w:szCs w:val="22"/>
        </w:rPr>
        <w:t xml:space="preserve"> and histories of the settlement and expectations and reference points. </w:t>
      </w:r>
    </w:p>
    <w:p w14:paraId="1AC6C424" w14:textId="77777777" w:rsidR="00733D7C" w:rsidRDefault="00733D7C">
      <w:pPr>
        <w:spacing w:before="100" w:after="100" w:line="300" w:lineRule="auto"/>
        <w:rPr>
          <w:color w:val="000000"/>
        </w:rPr>
      </w:pPr>
    </w:p>
    <w:p w14:paraId="1B079839" w14:textId="77777777" w:rsidR="002235C5" w:rsidRDefault="00000000">
      <w:pPr>
        <w:spacing w:before="100" w:after="100" w:line="300" w:lineRule="auto"/>
        <w:rPr>
          <w:color w:val="000000"/>
        </w:rPr>
      </w:pPr>
      <w:r>
        <w:rPr>
          <w:color w:val="000000"/>
        </w:rPr>
        <w:t xml:space="preserve">A growing body of research has documented the health consequences of household water insecurity across low- and middle-income settings. Water insecurity is associated with poor dietary quality, compromised hygiene, and elevated psychological distress, including symptoms of depression and anxiety. Critically, water worry — the subjective experience of anxiety about having enough water — has been shown to operate as a stressor independently of </w:t>
      </w:r>
      <w:r w:rsidR="002235C5">
        <w:rPr>
          <w:color w:val="000000"/>
        </w:rPr>
        <w:t>other</w:t>
      </w:r>
      <w:r>
        <w:rPr>
          <w:color w:val="000000"/>
        </w:rPr>
        <w:t xml:space="preserve"> supply metrics: households may worry even when water is formally available, and worry does not resolve automatically when supply improves (Jepson et al., 2021). In Mexico specifically, a cross-sectional study among women in Torreón found that both HWISE score and dry-season timing were independently associated with higher perceived stress (PSS), even among households with nearly universal piped water connections (Jepson et al., 2021). </w:t>
      </w:r>
    </w:p>
    <w:p w14:paraId="19E5E88D" w14:textId="5B3F4549" w:rsidR="00D47101" w:rsidRDefault="00000000">
      <w:pPr>
        <w:spacing w:before="100" w:after="100" w:line="300" w:lineRule="auto"/>
      </w:pPr>
      <w:r>
        <w:rPr>
          <w:color w:val="000000"/>
        </w:rPr>
        <w:lastRenderedPageBreak/>
        <w:t>A biocultural perspective holds that the health consequences of water scarcity cannot be fully understood from objective supply metrics alone. Water insecurity is a socially and contextually embedded experience: how households interpret and respond to water scarcity is shaped by cultural norms around hygiene and domestic labor, neighborhood social comparisons, and the accumulated expectations of living with an unreliable service (</w:t>
      </w:r>
      <w:proofErr w:type="spellStart"/>
      <w:r>
        <w:rPr>
          <w:color w:val="000000"/>
        </w:rPr>
        <w:t>Wutich</w:t>
      </w:r>
      <w:proofErr w:type="spellEnd"/>
      <w:r>
        <w:rPr>
          <w:color w:val="000000"/>
        </w:rPr>
        <w:t>, 2020). In this framework, perceived water insecurity — the felt sense of insufficiency, worry, and disruption — is a health-relevant stressor through mechanisms of chronic stress appraisal (Lazarus &amp; Folkman, 1984) and the physiological burden of repeated, unresolved daily stressors (Seeman et al., 2010). The water affect literature extends this further: the domain-specific emotional response to water insecurity (worry, frustration, shame, and the sense of injustice tied to inadequate service) may be a more sensitive indicator of water-related distress than general perceived stress scales, which aggregate across all domains of daily life (</w:t>
      </w:r>
      <w:proofErr w:type="spellStart"/>
      <w:r>
        <w:rPr>
          <w:color w:val="000000"/>
        </w:rPr>
        <w:t>Wutich</w:t>
      </w:r>
      <w:proofErr w:type="spellEnd"/>
      <w:r>
        <w:rPr>
          <w:color w:val="000000"/>
        </w:rPr>
        <w:t xml:space="preserve"> &amp; Brewis, 2014; Hadley &amp; </w:t>
      </w:r>
      <w:proofErr w:type="spellStart"/>
      <w:r>
        <w:rPr>
          <w:color w:val="000000"/>
        </w:rPr>
        <w:t>Wutich</w:t>
      </w:r>
      <w:proofErr w:type="spellEnd"/>
      <w:r>
        <w:rPr>
          <w:color w:val="000000"/>
        </w:rPr>
        <w:t>, 2009). In practice, this means that studies relying solely on general stress measures may underestimate the psychological burden that water insecurity places on households.</w:t>
      </w:r>
    </w:p>
    <w:p w14:paraId="2766DD2C" w14:textId="50B48EA4" w:rsidR="00D47101" w:rsidRDefault="00000000">
      <w:pPr>
        <w:spacing w:before="100" w:after="100" w:line="300" w:lineRule="auto"/>
        <w:rPr>
          <w:color w:val="000000"/>
        </w:rPr>
      </w:pPr>
      <w:r>
        <w:rPr>
          <w:color w:val="000000"/>
        </w:rPr>
        <w:t xml:space="preserve">Two additional dimensions of the water insecurity experience have received comparatively little attention in quantitative research. First, perceptions of relative deprivation — specifically, whether residents perceive their neighborhood’s water situation as worse than other parts of the city — may amplify water-related distress through mechanisms of perceived injustice and social exclusion, independent of absolute supply conditions (Hatzenbuehler et al., 2013). Second, seasonality introduces temporal variation in water availability that point-in-time cross-sectional surveys typically fail to </w:t>
      </w:r>
      <w:proofErr w:type="gramStart"/>
      <w:r>
        <w:rPr>
          <w:color w:val="000000"/>
        </w:rPr>
        <w:t>capture:</w:t>
      </w:r>
      <w:proofErr w:type="gramEnd"/>
      <w:r>
        <w:rPr>
          <w:color w:val="000000"/>
        </w:rPr>
        <w:t xml:space="preserve"> supply interruptions, storage depletion, and water management burden are not constant across the calendar year, and the relationship between water insecurity and psychological outcomes may differ meaningfully by season.</w:t>
      </w:r>
    </w:p>
    <w:p w14:paraId="24A4D8B7" w14:textId="631AA5E4" w:rsidR="002235C5" w:rsidRDefault="002235C5">
      <w:pPr>
        <w:spacing w:before="100" w:after="100" w:line="300" w:lineRule="auto"/>
      </w:pPr>
      <w:r>
        <w:rPr>
          <w:color w:val="000000"/>
        </w:rPr>
        <w:t>The psychological burden of water insecurity is not uniformly distributed. In many urban Latin American settings, the daily labor of household water management — monitoring storage tanks, coordinating delivery schedules, rationing use across household members — falls disproportionately on women (</w:t>
      </w:r>
      <w:proofErr w:type="spellStart"/>
      <w:r>
        <w:rPr>
          <w:color w:val="000000"/>
        </w:rPr>
        <w:t>Wutich</w:t>
      </w:r>
      <w:proofErr w:type="spellEnd"/>
      <w:r>
        <w:rPr>
          <w:color w:val="000000"/>
        </w:rPr>
        <w:t xml:space="preserve">, 2009; Hadley &amp; </w:t>
      </w:r>
      <w:proofErr w:type="spellStart"/>
      <w:r>
        <w:rPr>
          <w:color w:val="000000"/>
        </w:rPr>
        <w:t>Wutich</w:t>
      </w:r>
      <w:proofErr w:type="spellEnd"/>
      <w:r>
        <w:rPr>
          <w:color w:val="000000"/>
        </w:rPr>
        <w:t>, 2009). Women are therefore both more exposed to the practical demands of water scarcity and more likely to be the primary social referent for household water sufficiency.</w:t>
      </w:r>
    </w:p>
    <w:p w14:paraId="1698F1B8" w14:textId="3A55A2F9" w:rsidR="00D47101" w:rsidRDefault="00000000">
      <w:pPr>
        <w:spacing w:before="100" w:after="100" w:line="300" w:lineRule="auto"/>
      </w:pPr>
      <w:r>
        <w:rPr>
          <w:color w:val="000000"/>
        </w:rPr>
        <w:t xml:space="preserve">This study examines household water insecurity and its associations with two psychosocial outcomes — perceived stress and water-related emotional appraisal — among adult women in </w:t>
      </w:r>
      <w:proofErr w:type="spellStart"/>
      <w:r>
        <w:rPr>
          <w:color w:val="000000"/>
        </w:rPr>
        <w:t>Iztapalapa</w:t>
      </w:r>
      <w:proofErr w:type="spellEnd"/>
      <w:r>
        <w:rPr>
          <w:color w:val="000000"/>
        </w:rPr>
        <w:t>, Mexico City. Data were collected across two seasons (rainy: October–December 2022; dry: April–June 2023) and two zones with contrasting levels of water security</w:t>
      </w:r>
      <w:r w:rsidR="002235C5">
        <w:rPr>
          <w:color w:val="000000"/>
        </w:rPr>
        <w:t>, as defined by the government of Mexico City</w:t>
      </w:r>
      <w:r>
        <w:rPr>
          <w:color w:val="000000"/>
        </w:rPr>
        <w:t xml:space="preserve">. We address two aims: (1) to test whether HWISE score and government-defined neighborhood water security classification are associated with PSS and water-related emotion, and whether these associations are moderated by season; and (2) to identify which specific dimensions of water insecurity — HWISE items, supply characteristics, time burden, and perceived neighborhood disadvantage — are most strongly associated with each outcome. </w:t>
      </w:r>
      <w:r w:rsidR="00B62D4A">
        <w:rPr>
          <w:color w:val="000000"/>
        </w:rPr>
        <w:t xml:space="preserve">In these assessments, we also tested </w:t>
      </w:r>
      <w:r w:rsidR="00B62D4A">
        <w:t>the HWISE reduced score (10 items, excluding shame and anger to avoid redundancy with our emotion outcome)</w:t>
      </w:r>
      <w:r w:rsidR="00B62D4A">
        <w:t>.</w:t>
      </w:r>
      <w:r w:rsidR="00B62D4A">
        <w:rPr>
          <w:color w:val="000000"/>
        </w:rPr>
        <w:t xml:space="preserve"> </w:t>
      </w:r>
      <w:r>
        <w:rPr>
          <w:color w:val="000000"/>
        </w:rPr>
        <w:t xml:space="preserve">By testing both </w:t>
      </w:r>
      <w:r>
        <w:rPr>
          <w:color w:val="000000"/>
        </w:rPr>
        <w:lastRenderedPageBreak/>
        <w:t>global and component-level water insecurity measures against two psychosocial outcomes that may capture distinct aspects of the stress experience, we aim to advance understanding of how water insecurity operates as a psychological stressor in an urban Latin American context, and to provide evidence for which dimensions of the water insecurity experience most warrant intervention.</w:t>
      </w:r>
    </w:p>
    <w:p w14:paraId="047DCA8F" w14:textId="77777777" w:rsidR="00D47101" w:rsidRDefault="00D47101">
      <w:pPr>
        <w:pBdr>
          <w:bottom w:val="single" w:sz="6" w:space="0" w:color="BBBBBB"/>
        </w:pBdr>
        <w:spacing w:before="240" w:after="240"/>
      </w:pPr>
    </w:p>
    <w:p w14:paraId="6C445FFA" w14:textId="1C903E01" w:rsidR="00733D7C" w:rsidRDefault="00733D7C" w:rsidP="00B62D4A">
      <w:pPr>
        <w:pStyle w:val="ListParagraph"/>
        <w:numPr>
          <w:ilvl w:val="0"/>
          <w:numId w:val="2"/>
        </w:numPr>
        <w:spacing w:before="60" w:after="60"/>
      </w:pPr>
      <w:r>
        <w:t>Definition of water insecurity</w:t>
      </w:r>
    </w:p>
    <w:p w14:paraId="34832DDD" w14:textId="6F91C824" w:rsidR="00733D7C" w:rsidRDefault="00733D7C" w:rsidP="00B62D4A">
      <w:pPr>
        <w:pStyle w:val="ListParagraph"/>
        <w:numPr>
          <w:ilvl w:val="0"/>
          <w:numId w:val="2"/>
        </w:numPr>
        <w:spacing w:before="60" w:after="60"/>
      </w:pPr>
      <w:r>
        <w:rPr>
          <w:color w:val="000000"/>
        </w:rPr>
        <w:t>Biocultural framing: why perception and lived experience matter for health</w:t>
      </w:r>
    </w:p>
    <w:p w14:paraId="40679A7E" w14:textId="79F2A22C" w:rsidR="00B62D4A" w:rsidRDefault="00B62D4A" w:rsidP="00B62D4A">
      <w:pPr>
        <w:pStyle w:val="ListParagraph"/>
        <w:numPr>
          <w:ilvl w:val="0"/>
          <w:numId w:val="2"/>
        </w:numPr>
        <w:spacing w:before="60" w:after="60"/>
      </w:pPr>
      <w:proofErr w:type="spellStart"/>
      <w:r>
        <w:t>Wutich</w:t>
      </w:r>
      <w:proofErr w:type="spellEnd"/>
      <w:r>
        <w:t xml:space="preserve"> 2020 ‘local </w:t>
      </w:r>
      <w:proofErr w:type="spellStart"/>
      <w:r>
        <w:t>biologies</w:t>
      </w:r>
      <w:proofErr w:type="spellEnd"/>
      <w:r>
        <w:t>’: the water insecurity experience is not universal; urban environment creates specific social expectations and reference points</w:t>
      </w:r>
    </w:p>
    <w:p w14:paraId="6D7178F2" w14:textId="10749998" w:rsidR="00733D7C" w:rsidRDefault="00733D7C" w:rsidP="00B62D4A">
      <w:pPr>
        <w:pStyle w:val="ListParagraph"/>
        <w:numPr>
          <w:ilvl w:val="0"/>
          <w:numId w:val="2"/>
        </w:numPr>
        <w:spacing w:before="60" w:after="60"/>
      </w:pPr>
      <w:r>
        <w:rPr>
          <w:color w:val="000000"/>
        </w:rPr>
        <w:t xml:space="preserve">Importance - local </w:t>
      </w:r>
      <w:proofErr w:type="spellStart"/>
      <w:r>
        <w:rPr>
          <w:color w:val="000000"/>
        </w:rPr>
        <w:t>biologies</w:t>
      </w:r>
      <w:proofErr w:type="spellEnd"/>
      <w:r>
        <w:rPr>
          <w:color w:val="000000"/>
        </w:rPr>
        <w:t xml:space="preserve"> (</w:t>
      </w:r>
      <w:proofErr w:type="spellStart"/>
      <w:r>
        <w:rPr>
          <w:color w:val="000000"/>
        </w:rPr>
        <w:t>wutich</w:t>
      </w:r>
      <w:proofErr w:type="spellEnd"/>
      <w:r>
        <w:rPr>
          <w:color w:val="000000"/>
        </w:rPr>
        <w:t xml:space="preserve"> 2020), multiplicity of the water insecurity experience. Urban environment comes with a set of specific challenges. </w:t>
      </w:r>
      <w:proofErr w:type="gramStart"/>
      <w:r>
        <w:rPr>
          <w:color w:val="000000"/>
        </w:rPr>
        <w:t>So</w:t>
      </w:r>
      <w:proofErr w:type="gramEnd"/>
      <w:r>
        <w:rPr>
          <w:color w:val="000000"/>
        </w:rPr>
        <w:t xml:space="preserve"> measuring it using one universal tool has limitations. Need to study water insecurity in relation to specific health outcomes of interest and the social relationships and expectations in which water management and use is immersed.</w:t>
      </w:r>
    </w:p>
    <w:p w14:paraId="619EB10F" w14:textId="77777777" w:rsidR="00B62D4A" w:rsidRDefault="00B62D4A" w:rsidP="00B62D4A">
      <w:pPr>
        <w:pStyle w:val="ListParagraph"/>
        <w:numPr>
          <w:ilvl w:val="0"/>
          <w:numId w:val="2"/>
        </w:numPr>
        <w:spacing w:before="60" w:after="60"/>
      </w:pPr>
      <w:r>
        <w:t>Stress appraisal theory (Lazarus &amp; Folkman 1984): physiological and psychological stress responses driven by cognitive appraisal of threat, not just objective exposure</w:t>
      </w:r>
    </w:p>
    <w:p w14:paraId="1FFB6BC3" w14:textId="77777777" w:rsidR="00B62D4A" w:rsidRDefault="00B62D4A" w:rsidP="00B62D4A">
      <w:pPr>
        <w:pStyle w:val="ListParagraph"/>
        <w:numPr>
          <w:ilvl w:val="0"/>
          <w:numId w:val="2"/>
        </w:numPr>
        <w:spacing w:before="60" w:after="60"/>
      </w:pPr>
      <w:r>
        <w:t>Water affect literature (</w:t>
      </w:r>
      <w:proofErr w:type="spellStart"/>
      <w:r>
        <w:t>Wutich</w:t>
      </w:r>
      <w:proofErr w:type="spellEnd"/>
      <w:r>
        <w:t xml:space="preserve"> &amp; Brewis; Hadley &amp; </w:t>
      </w:r>
      <w:proofErr w:type="spellStart"/>
      <w:r>
        <w:t>Wutich</w:t>
      </w:r>
      <w:proofErr w:type="spellEnd"/>
      <w:r>
        <w:t xml:space="preserve"> 2009): domain-specific emotional response to water insecurity (worry, frustration, shame) as a distinct outcome from general stress</w:t>
      </w:r>
    </w:p>
    <w:p w14:paraId="0B61CD1E" w14:textId="77777777" w:rsidR="00B62D4A" w:rsidRDefault="00B62D4A" w:rsidP="00B62D4A">
      <w:pPr>
        <w:pStyle w:val="ListParagraph"/>
        <w:numPr>
          <w:ilvl w:val="0"/>
          <w:numId w:val="2"/>
        </w:numPr>
        <w:spacing w:before="60" w:after="60"/>
      </w:pPr>
      <w:r>
        <w:t xml:space="preserve">Allostatic load framing: repeated small indignities from water insecurity (inability to meet hygiene norms, disrupted daily routines) accumulate into chronic stressor burden (Seeman et al. 2010; </w:t>
      </w:r>
      <w:proofErr w:type="spellStart"/>
      <w:r>
        <w:t>Migeot</w:t>
      </w:r>
      <w:proofErr w:type="spellEnd"/>
      <w:r>
        <w:t xml:space="preserve"> et al. 2024 for Latin America)</w:t>
      </w:r>
    </w:p>
    <w:p w14:paraId="4206B0FE" w14:textId="77777777" w:rsidR="00B62D4A" w:rsidRDefault="00B62D4A" w:rsidP="00B62D4A">
      <w:pPr>
        <w:pStyle w:val="ListParagraph"/>
        <w:numPr>
          <w:ilvl w:val="0"/>
          <w:numId w:val="2"/>
        </w:numPr>
        <w:spacing w:before="60" w:after="60"/>
      </w:pPr>
      <w:r>
        <w:t>Rosinger et al. 2021 (Bolivia): directly links water insecurity to chronic stress embodiment (hair cortisol) — closest biocultural study; rural Bolivia ≠ urban Mexico City but mechanism transferable</w:t>
      </w:r>
    </w:p>
    <w:p w14:paraId="62AD704F" w14:textId="64F2E2EF" w:rsidR="00733D7C" w:rsidRDefault="00733D7C" w:rsidP="00B62D4A">
      <w:pPr>
        <w:pStyle w:val="ListParagraph"/>
        <w:numPr>
          <w:ilvl w:val="0"/>
          <w:numId w:val="2"/>
        </w:numPr>
        <w:spacing w:before="60" w:after="60"/>
      </w:pPr>
      <w:r>
        <w:rPr>
          <w:color w:val="000000"/>
        </w:rPr>
        <w:t>Urban contexts as extreme environments</w:t>
      </w:r>
    </w:p>
    <w:p w14:paraId="15C0E9DA" w14:textId="77777777" w:rsidR="00B62D4A" w:rsidRDefault="00B62D4A" w:rsidP="00B62D4A">
      <w:pPr>
        <w:pStyle w:val="ListParagraph"/>
        <w:numPr>
          <w:ilvl w:val="0"/>
          <w:numId w:val="2"/>
        </w:numPr>
        <w:spacing w:before="60" w:after="60"/>
      </w:pPr>
      <w:r>
        <w:t xml:space="preserve">This is the first biocultural study of this type focused on </w:t>
      </w:r>
      <w:proofErr w:type="spellStart"/>
      <w:r>
        <w:t>Iztapalapa</w:t>
      </w:r>
      <w:proofErr w:type="spellEnd"/>
    </w:p>
    <w:p w14:paraId="0DAD13B0" w14:textId="77777777" w:rsidR="00B62D4A" w:rsidRDefault="00B62D4A" w:rsidP="00B62D4A">
      <w:pPr>
        <w:pStyle w:val="ListParagraph"/>
        <w:numPr>
          <w:ilvl w:val="0"/>
          <w:numId w:val="2"/>
        </w:numPr>
        <w:spacing w:before="60" w:after="60"/>
      </w:pPr>
      <w:r>
        <w:t>Perception of injustice / relative deprivation: perceiving neighborhood water as worse than other parts of Mexico City may amplify distress beyond absolute scarcity</w:t>
      </w:r>
    </w:p>
    <w:p w14:paraId="43D8F0BF" w14:textId="77777777" w:rsidR="00B62D4A" w:rsidRDefault="00B62D4A" w:rsidP="00B62D4A">
      <w:pPr>
        <w:pStyle w:val="ListParagraph"/>
        <w:numPr>
          <w:ilvl w:val="0"/>
          <w:numId w:val="2"/>
        </w:numPr>
        <w:spacing w:before="60" w:after="60"/>
      </w:pPr>
      <w:r>
        <w:t>Hatzenbuehler et al. 2013: experiences of devaluation and social exclusion activate stress pathways independently of material conditions</w:t>
      </w:r>
    </w:p>
    <w:p w14:paraId="7498B6DC" w14:textId="77777777" w:rsidR="00B62D4A" w:rsidRDefault="00B62D4A" w:rsidP="00B62D4A">
      <w:pPr>
        <w:pStyle w:val="ListParagraph"/>
        <w:numPr>
          <w:ilvl w:val="0"/>
          <w:numId w:val="2"/>
        </w:numPr>
        <w:spacing w:before="60" w:after="60"/>
      </w:pPr>
      <w:r>
        <w:t>Seasonality: most WI surveys are cross-sectional and point-in-time — miss seasonal dynamics</w:t>
      </w:r>
    </w:p>
    <w:p w14:paraId="21AC1035" w14:textId="77777777" w:rsidR="00B62D4A" w:rsidRDefault="00B62D4A" w:rsidP="00B62D4A">
      <w:pPr>
        <w:pStyle w:val="ListParagraph"/>
        <w:numPr>
          <w:ilvl w:val="0"/>
          <w:numId w:val="2"/>
        </w:numPr>
        <w:spacing w:before="60" w:after="60"/>
      </w:pPr>
      <w:r>
        <w:t>Dry season: HWISE significantly higher (9.8) than rainy (7.1) in this sample (p&lt;0.001); most supply characteristics also worse</w:t>
      </w:r>
    </w:p>
    <w:p w14:paraId="60F68583" w14:textId="77777777" w:rsidR="00B62D4A" w:rsidRDefault="00B62D4A" w:rsidP="00B62D4A">
      <w:pPr>
        <w:pStyle w:val="ListParagraph"/>
        <w:numPr>
          <w:ilvl w:val="0"/>
          <w:numId w:val="2"/>
        </w:numPr>
        <w:spacing w:before="60" w:after="60"/>
      </w:pPr>
      <w:r>
        <w:t>Jepson et al. 2021: season predicts PSS in Torreón despite 92.8% piped coverage — likely through higher demand and variable supply performance in dry conditions</w:t>
      </w:r>
    </w:p>
    <w:p w14:paraId="6C6CDEA2" w14:textId="77777777" w:rsidR="00B62D4A" w:rsidRDefault="00B62D4A" w:rsidP="00B62D4A">
      <w:pPr>
        <w:pStyle w:val="ListParagraph"/>
        <w:numPr>
          <w:ilvl w:val="0"/>
          <w:numId w:val="2"/>
        </w:numPr>
        <w:spacing w:before="60" w:after="60"/>
      </w:pPr>
      <w:r>
        <w:t>Gendered burden: water management labor falls disproportionately on women; this all-female sample captures those most exposed to both the practical burden and social expectations around domestic water use</w:t>
      </w:r>
    </w:p>
    <w:p w14:paraId="2316C8C0" w14:textId="77777777" w:rsidR="00B62D4A" w:rsidRDefault="00B62D4A" w:rsidP="00B62D4A">
      <w:pPr>
        <w:pStyle w:val="ListParagraph"/>
        <w:numPr>
          <w:ilvl w:val="0"/>
          <w:numId w:val="2"/>
        </w:numPr>
        <w:spacing w:before="60" w:after="60"/>
      </w:pPr>
      <w:r>
        <w:t>Aim 1: Test whether household water insecurity (HWISE score and neighborhood classification) is associated with perceived stress (PSS) and water-related emotional appraisal, including whether these associations are moderated by season</w:t>
      </w:r>
    </w:p>
    <w:p w14:paraId="0B66C48B" w14:textId="02A0AD08" w:rsidR="007F7B84" w:rsidRPr="007F7B84" w:rsidRDefault="00B62D4A" w:rsidP="007F7B84">
      <w:pPr>
        <w:pStyle w:val="ListParagraph"/>
        <w:numPr>
          <w:ilvl w:val="0"/>
          <w:numId w:val="2"/>
        </w:numPr>
        <w:spacing w:before="60" w:after="60"/>
      </w:pPr>
      <w:r>
        <w:lastRenderedPageBreak/>
        <w:t xml:space="preserve">Aim 2: Identify which specific dimensions of water insecurity (individual HWISE items, supply characteristics, time burden, perceived neighborhood disadvantage) are most strongly associated with each </w:t>
      </w:r>
      <w:proofErr w:type="spellStart"/>
      <w:r>
        <w:t>outcom</w:t>
      </w:r>
      <w:proofErr w:type="spellEnd"/>
    </w:p>
    <w:p w14:paraId="5A566B84" w14:textId="2DB68560" w:rsidR="00B62D4A" w:rsidRPr="007F7B84" w:rsidRDefault="007F7B84" w:rsidP="007F7B84">
      <w:pPr>
        <w:numPr>
          <w:ilvl w:val="0"/>
          <w:numId w:val="4"/>
        </w:numPr>
        <w:spacing w:before="240" w:after="240"/>
        <w:textAlignment w:val="baseline"/>
        <w:rPr>
          <w:rFonts w:eastAsia="Times New Roman"/>
          <w:color w:val="000000"/>
        </w:rPr>
      </w:pPr>
      <w:r w:rsidRPr="007F7B84">
        <w:rPr>
          <w:rFonts w:eastAsia="Times New Roman"/>
          <w:color w:val="000000"/>
        </w:rPr>
        <w:t>Perception of injustice and relative deprivation</w:t>
      </w:r>
    </w:p>
    <w:p w14:paraId="2E86D4A6" w14:textId="4A452983" w:rsidR="00D47101" w:rsidRDefault="00000000">
      <w:pPr>
        <w:pStyle w:val="ListParagraph"/>
        <w:numPr>
          <w:ilvl w:val="0"/>
          <w:numId w:val="2"/>
        </w:numPr>
        <w:spacing w:before="60" w:after="60"/>
      </w:pPr>
      <w:r>
        <w:t>Optional: a sentence in paragraph 2 about HWISE validation in Mexico (Shamah-Levy 2022) is currently implicit. Consider making it explicit if reviewers at SS&amp;M may not know the ENSANUT context.</w:t>
      </w:r>
    </w:p>
    <w:p w14:paraId="0598C019" w14:textId="77777777" w:rsidR="00D47101" w:rsidRDefault="00000000">
      <w:pPr>
        <w:pStyle w:val="ListParagraph"/>
        <w:numPr>
          <w:ilvl w:val="0"/>
          <w:numId w:val="2"/>
        </w:numPr>
        <w:spacing w:before="60" w:after="60"/>
      </w:pPr>
      <w:r>
        <w:t>Length check: the 5 paragraphs above run ~1,350 words. If SS&amp;M has a tight word budget, paragraphs 3 and 4 can be trimmed by ~150 words each without losing the key arguments.</w:t>
      </w:r>
    </w:p>
    <w:p w14:paraId="726D7939" w14:textId="77777777" w:rsidR="00B62D4A" w:rsidRDefault="00B62D4A" w:rsidP="00B62D4A">
      <w:pPr>
        <w:pStyle w:val="ListParagraph"/>
        <w:numPr>
          <w:ilvl w:val="0"/>
          <w:numId w:val="2"/>
        </w:numPr>
        <w:spacing w:before="60" w:after="60"/>
      </w:pPr>
      <w:r>
        <w:t>Urban settings come with specific challenges (infrastructure dependence, storage systems, intermittency) distinct from rural water scarcity</w:t>
      </w:r>
    </w:p>
    <w:p w14:paraId="15469C11" w14:textId="77777777" w:rsidR="00B62D4A" w:rsidRDefault="00B62D4A" w:rsidP="00B62D4A">
      <w:pPr>
        <w:pStyle w:val="ListParagraph"/>
        <w:numPr>
          <w:ilvl w:val="0"/>
          <w:numId w:val="2"/>
        </w:numPr>
        <w:spacing w:before="60" w:after="60"/>
      </w:pPr>
      <w:r>
        <w:t xml:space="preserve">Two study zones: San Lorenzo </w:t>
      </w:r>
      <w:proofErr w:type="spellStart"/>
      <w:r>
        <w:t>Tezonco</w:t>
      </w:r>
      <w:proofErr w:type="spellEnd"/>
      <w:r>
        <w:t xml:space="preserve"> (western, mixed formal/informal, some centrally managed systems) vs. Santiago </w:t>
      </w:r>
      <w:proofErr w:type="spellStart"/>
      <w:r>
        <w:t>Acahualtepec</w:t>
      </w:r>
      <w:proofErr w:type="spellEnd"/>
      <w:r>
        <w:t xml:space="preserve">/San Miguel </w:t>
      </w:r>
      <w:proofErr w:type="spellStart"/>
      <w:r>
        <w:t>Teotongo</w:t>
      </w:r>
      <w:proofErr w:type="spellEnd"/>
      <w:r>
        <w:t xml:space="preserve"> (eastern, hillside informal settlements, more limited and irregular supply)</w:t>
      </w:r>
    </w:p>
    <w:p w14:paraId="66E22BE2" w14:textId="77777777" w:rsidR="00B62D4A" w:rsidRDefault="00B62D4A" w:rsidP="00B62D4A">
      <w:pPr>
        <w:pStyle w:val="ListParagraph"/>
        <w:numPr>
          <w:ilvl w:val="0"/>
          <w:numId w:val="2"/>
        </w:numPr>
        <w:spacing w:before="60" w:after="60"/>
      </w:pPr>
      <w:r>
        <w:t>Neighborhood classification: based on Mexico City government 2022 resolution granting water fee condonations to chronically under-served colonias (Sistema de Aguas de la Ciudad de México)</w:t>
      </w:r>
    </w:p>
    <w:p w14:paraId="0DBA627C" w14:textId="77777777" w:rsidR="00B62D4A" w:rsidRDefault="00B62D4A" w:rsidP="00B62D4A">
      <w:pPr>
        <w:pStyle w:val="ListParagraph"/>
        <w:numPr>
          <w:ilvl w:val="0"/>
          <w:numId w:val="2"/>
        </w:numPr>
        <w:spacing w:before="60" w:after="60"/>
      </w:pPr>
      <w:r>
        <w:t>Most participants receive water 6–7 days/week (72%) but only 28% have continuous supply; most rely on household storage (</w:t>
      </w:r>
      <w:proofErr w:type="spellStart"/>
      <w:r>
        <w:t>tinacos</w:t>
      </w:r>
      <w:proofErr w:type="spellEnd"/>
      <w:r>
        <w:t>)</w:t>
      </w:r>
    </w:p>
    <w:p w14:paraId="07BC890B" w14:textId="77777777" w:rsidR="00B62D4A" w:rsidRDefault="00B62D4A" w:rsidP="00B62D4A">
      <w:pPr>
        <w:pStyle w:val="ListParagraph"/>
        <w:numPr>
          <w:ilvl w:val="0"/>
          <w:numId w:val="2"/>
        </w:numPr>
        <w:spacing w:before="60" w:after="60"/>
      </w:pPr>
    </w:p>
    <w:p w14:paraId="37E75AB9" w14:textId="77777777" w:rsidR="00B62D4A" w:rsidRDefault="00B62D4A" w:rsidP="00B62D4A">
      <w:pPr>
        <w:pStyle w:val="ListParagraph"/>
        <w:numPr>
          <w:ilvl w:val="0"/>
          <w:numId w:val="2"/>
        </w:numPr>
        <w:spacing w:before="60" w:after="60"/>
      </w:pPr>
      <w:r>
        <w:t xml:space="preserve">Water </w:t>
      </w:r>
      <w:proofErr w:type="gramStart"/>
      <w:r>
        <w:t>worry</w:t>
      </w:r>
      <w:proofErr w:type="gramEnd"/>
      <w:r>
        <w:t xml:space="preserve"> as conceptually and empirically distinct from objective water access: households may worry even with adequate supply; worry persists after supply improves (Jepson et al. 2021)</w:t>
      </w:r>
    </w:p>
    <w:p w14:paraId="419040B3" w14:textId="77777777" w:rsidR="00B62D4A" w:rsidRDefault="00B62D4A" w:rsidP="00B62D4A">
      <w:pPr>
        <w:pStyle w:val="ListParagraph"/>
        <w:numPr>
          <w:ilvl w:val="0"/>
          <w:numId w:val="2"/>
        </w:numPr>
        <w:spacing w:before="60" w:after="60"/>
      </w:pPr>
      <w:r>
        <w:t>Jepson et al. 2021 (Torreón, Mexico, n=500): season associated with higher PSS; mean HWISE 7.6 ±7.9, high WI 27.1%, PSS 19.7 ±9.0</w:t>
      </w:r>
    </w:p>
    <w:p w14:paraId="560EF688" w14:textId="77777777" w:rsidR="00B62D4A" w:rsidRDefault="00B62D4A" w:rsidP="00B62D4A">
      <w:pPr>
        <w:pStyle w:val="ListParagraph"/>
        <w:numPr>
          <w:ilvl w:val="0"/>
          <w:numId w:val="2"/>
        </w:numPr>
        <w:spacing w:before="60" w:after="60"/>
      </w:pPr>
      <w:r>
        <w:t>HWISE validated in Mexico: Shamah-Levy et al. 2022 (ENSANUT 2021, 12,463 households); α=0.928; equivalent behavior urban/rural; incorporated as national surveillance tool since 2021</w:t>
      </w:r>
    </w:p>
    <w:p w14:paraId="1714A1A4" w14:textId="77777777" w:rsidR="00B62D4A" w:rsidRDefault="00B62D4A" w:rsidP="00B62D4A">
      <w:pPr>
        <w:pStyle w:val="ListParagraph"/>
        <w:numPr>
          <w:ilvl w:val="0"/>
          <w:numId w:val="2"/>
        </w:numPr>
        <w:spacing w:before="60" w:after="60"/>
      </w:pPr>
      <w:r>
        <w:t>Huffman &amp; Najera 2024: 5-item subscale may perform more reliably in Mexico; ‘drink’ item has low discrimination value and has been criticized for wording ambiguity</w:t>
      </w:r>
    </w:p>
    <w:p w14:paraId="0D89C914" w14:textId="77777777" w:rsidR="00B62D4A" w:rsidRDefault="00B62D4A" w:rsidP="00B62D4A">
      <w:pPr>
        <w:pStyle w:val="ListParagraph"/>
        <w:numPr>
          <w:ilvl w:val="0"/>
          <w:numId w:val="2"/>
        </w:numPr>
        <w:spacing w:before="60" w:after="60"/>
      </w:pPr>
      <w:r>
        <w:t>Thomson et al. 2024 (n=2,873, 9 middle-income countries): frequent supply interruptions increase emotional distress and maladaptive coping; predictability mitigates effects 25–50%</w:t>
      </w:r>
    </w:p>
    <w:p w14:paraId="63D89E75" w14:textId="77777777" w:rsidR="007F7B84" w:rsidRPr="007F7B84" w:rsidRDefault="007F7B84" w:rsidP="007F7B84">
      <w:pPr>
        <w:pStyle w:val="ListParagraph"/>
        <w:numPr>
          <w:ilvl w:val="0"/>
          <w:numId w:val="2"/>
        </w:numPr>
        <w:spacing w:before="240" w:after="240"/>
        <w:rPr>
          <w:rFonts w:ascii="Times New Roman" w:eastAsia="Times New Roman" w:hAnsi="Times New Roman" w:cs="Times New Roman"/>
          <w:sz w:val="24"/>
          <w:szCs w:val="24"/>
        </w:rPr>
      </w:pPr>
      <w:proofErr w:type="spellStart"/>
      <w:r w:rsidRPr="007F7B84">
        <w:rPr>
          <w:rFonts w:eastAsia="Times New Roman"/>
          <w:b/>
          <w:bCs/>
          <w:color w:val="000000"/>
        </w:rPr>
        <w:t>Migeot</w:t>
      </w:r>
      <w:proofErr w:type="spellEnd"/>
      <w:r w:rsidRPr="007F7B84">
        <w:rPr>
          <w:rFonts w:eastAsia="Times New Roman"/>
          <w:b/>
          <w:bCs/>
          <w:color w:val="000000"/>
        </w:rPr>
        <w:t xml:space="preserve"> et al. (2024)</w:t>
      </w:r>
      <w:r w:rsidRPr="007F7B84">
        <w:rPr>
          <w:rFonts w:eastAsia="Times New Roman"/>
          <w:color w:val="000000"/>
        </w:rPr>
        <w:t xml:space="preserve"> — "Allostasis, health, and development in Latin America," </w:t>
      </w:r>
      <w:r w:rsidRPr="007F7B84">
        <w:rPr>
          <w:rFonts w:eastAsia="Times New Roman"/>
          <w:i/>
          <w:iCs/>
          <w:color w:val="000000"/>
        </w:rPr>
        <w:t>Neuroscience &amp; Biobehavioral Reviews</w:t>
      </w:r>
      <w:r w:rsidRPr="007F7B84">
        <w:rPr>
          <w:rFonts w:eastAsia="Times New Roman"/>
          <w:color w:val="000000"/>
        </w:rPr>
        <w:t>. It's recent, Latin America–</w:t>
      </w:r>
      <w:proofErr w:type="gramStart"/>
      <w:r w:rsidRPr="007F7B84">
        <w:rPr>
          <w:rFonts w:eastAsia="Times New Roman"/>
          <w:color w:val="000000"/>
        </w:rPr>
        <w:t>specific, and</w:t>
      </w:r>
      <w:proofErr w:type="gramEnd"/>
      <w:r w:rsidRPr="007F7B84">
        <w:rPr>
          <w:rFonts w:eastAsia="Times New Roman"/>
          <w:color w:val="000000"/>
        </w:rPr>
        <w:t xml:space="preserve"> explicitly frames chronic psychosocial stressors (including resource insecurity) as accumulating into allostatic load in this region. The focus is </w:t>
      </w:r>
      <w:proofErr w:type="gramStart"/>
      <w:r w:rsidRPr="007F7B84">
        <w:rPr>
          <w:rFonts w:eastAsia="Times New Roman"/>
          <w:color w:val="000000"/>
        </w:rPr>
        <w:t>developmental</w:t>
      </w:r>
      <w:proofErr w:type="gramEnd"/>
      <w:r w:rsidRPr="007F7B84">
        <w:rPr>
          <w:rFonts w:eastAsia="Times New Roman"/>
          <w:color w:val="000000"/>
        </w:rPr>
        <w:t xml:space="preserve"> but the theoretical framework applies to your adult sample.</w:t>
      </w:r>
    </w:p>
    <w:p w14:paraId="0843EC63" w14:textId="77777777" w:rsidR="007F7B84" w:rsidRPr="007F7B84" w:rsidRDefault="007F7B84" w:rsidP="007F7B84">
      <w:pPr>
        <w:pStyle w:val="ListParagraph"/>
        <w:numPr>
          <w:ilvl w:val="0"/>
          <w:numId w:val="2"/>
        </w:numPr>
        <w:spacing w:before="240" w:after="240"/>
        <w:rPr>
          <w:rFonts w:ascii="Times New Roman" w:eastAsia="Times New Roman" w:hAnsi="Times New Roman" w:cs="Times New Roman"/>
          <w:sz w:val="24"/>
          <w:szCs w:val="24"/>
        </w:rPr>
      </w:pPr>
      <w:r w:rsidRPr="007F7B84">
        <w:rPr>
          <w:rFonts w:eastAsia="Times New Roman"/>
          <w:color w:val="000000"/>
        </w:rPr>
        <w:t xml:space="preserve">For the dignity/hygiene-norms side, </w:t>
      </w:r>
      <w:r w:rsidRPr="007F7B84">
        <w:rPr>
          <w:rFonts w:eastAsia="Times New Roman"/>
          <w:b/>
          <w:bCs/>
          <w:color w:val="000000"/>
        </w:rPr>
        <w:t>Rosinger et al. (2021)</w:t>
      </w:r>
      <w:r w:rsidRPr="007F7B84">
        <w:rPr>
          <w:rFonts w:eastAsia="Times New Roman"/>
          <w:color w:val="000000"/>
        </w:rPr>
        <w:t xml:space="preserve"> — "The embodiment of water insecurity: Injuries and chronic stress in lowland Bolivia," </w:t>
      </w:r>
      <w:r w:rsidRPr="007F7B84">
        <w:rPr>
          <w:rFonts w:eastAsia="Times New Roman"/>
          <w:i/>
          <w:iCs/>
          <w:color w:val="000000"/>
        </w:rPr>
        <w:t>Social Science &amp; Medicine</w:t>
      </w:r>
      <w:r w:rsidRPr="007F7B84">
        <w:rPr>
          <w:rFonts w:eastAsia="Times New Roman"/>
          <w:color w:val="000000"/>
        </w:rPr>
        <w:t xml:space="preserve"> — is your strongest option. It's recent, Latin American, biocultural, and directly links water insecurity to chronic stress embodiment (using hair cortisol). It also uses the exact conceptual move you're </w:t>
      </w:r>
      <w:proofErr w:type="gramStart"/>
      <w:r w:rsidRPr="007F7B84">
        <w:rPr>
          <w:rFonts w:eastAsia="Times New Roman"/>
          <w:color w:val="000000"/>
        </w:rPr>
        <w:t>making:</w:t>
      </w:r>
      <w:proofErr w:type="gramEnd"/>
      <w:r w:rsidRPr="007F7B84">
        <w:rPr>
          <w:rFonts w:eastAsia="Times New Roman"/>
          <w:color w:val="000000"/>
        </w:rPr>
        <w:t xml:space="preserve"> water insecurity → repeated bodily/functional </w:t>
      </w:r>
      <w:r w:rsidRPr="007F7B84">
        <w:rPr>
          <w:rFonts w:eastAsia="Times New Roman"/>
          <w:color w:val="000000"/>
        </w:rPr>
        <w:lastRenderedPageBreak/>
        <w:t>consequences → chronic stress. Rural Bolivia ≠ urban Mexico City, but the mechanism is the same and it's the closest available.</w:t>
      </w:r>
    </w:p>
    <w:p w14:paraId="30D04B70" w14:textId="77777777" w:rsidR="007F7B84" w:rsidRPr="007F7B84" w:rsidRDefault="007F7B84" w:rsidP="007F7B84">
      <w:pPr>
        <w:ind w:left="360"/>
        <w:rPr>
          <w:rFonts w:ascii="Times New Roman" w:eastAsia="Times New Roman" w:hAnsi="Times New Roman" w:cs="Times New Roman"/>
          <w:sz w:val="24"/>
          <w:szCs w:val="24"/>
        </w:rPr>
      </w:pPr>
    </w:p>
    <w:p w14:paraId="02903C7F" w14:textId="77777777" w:rsidR="00B62D4A" w:rsidRDefault="00B62D4A" w:rsidP="007F7B84">
      <w:pPr>
        <w:spacing w:before="60" w:after="60"/>
        <w:ind w:left="360"/>
      </w:pPr>
    </w:p>
    <w:p w14:paraId="500E1FC0" w14:textId="77777777" w:rsidR="00D47101" w:rsidRDefault="00000000">
      <w:pPr>
        <w:pStyle w:val="Heading3"/>
      </w:pPr>
      <w:r>
        <w:t>Priority action items</w:t>
      </w:r>
    </w:p>
    <w:p w14:paraId="10F4FF99" w14:textId="77777777" w:rsidR="00D47101" w:rsidRDefault="00000000">
      <w:pPr>
        <w:pStyle w:val="ListParagraph"/>
        <w:numPr>
          <w:ilvl w:val="0"/>
          <w:numId w:val="2"/>
        </w:numPr>
        <w:spacing w:before="60" w:after="60"/>
      </w:pPr>
      <w:r>
        <w:t>PRIORITY 2: Fill in the González-Villarreal reference (year, title, or report format).</w:t>
      </w:r>
    </w:p>
    <w:p w14:paraId="21FE4D80" w14:textId="77777777" w:rsidR="00D47101" w:rsidRDefault="00000000">
      <w:pPr>
        <w:pStyle w:val="ListParagraph"/>
        <w:numPr>
          <w:ilvl w:val="0"/>
          <w:numId w:val="2"/>
        </w:numPr>
        <w:spacing w:before="60" w:after="60"/>
      </w:pPr>
      <w:r>
        <w:t xml:space="preserve">PRIORITY 3: Decide how much </w:t>
      </w:r>
      <w:proofErr w:type="spellStart"/>
      <w:r>
        <w:t>Iztapalapa</w:t>
      </w:r>
      <w:proofErr w:type="spellEnd"/>
      <w:r>
        <w:t xml:space="preserve"> </w:t>
      </w:r>
      <w:proofErr w:type="spellStart"/>
      <w:r>
        <w:t>fieldsite</w:t>
      </w:r>
      <w:proofErr w:type="spellEnd"/>
      <w:r>
        <w:t xml:space="preserve"> detail stays in the intro vs. moves to Methods section 3.1 (you already have that text written).</w:t>
      </w:r>
    </w:p>
    <w:p w14:paraId="0743781E" w14:textId="77777777" w:rsidR="00B62D4A" w:rsidRDefault="00B62D4A">
      <w:pPr>
        <w:pStyle w:val="ListParagraph"/>
        <w:numPr>
          <w:ilvl w:val="0"/>
          <w:numId w:val="2"/>
        </w:numPr>
        <w:spacing w:before="60" w:after="60"/>
      </w:pPr>
    </w:p>
    <w:p w14:paraId="33EFF4D4" w14:textId="77777777" w:rsidR="00D47101" w:rsidRDefault="00000000">
      <w:pPr>
        <w:pStyle w:val="ListParagraph"/>
        <w:numPr>
          <w:ilvl w:val="0"/>
          <w:numId w:val="2"/>
        </w:numPr>
        <w:spacing w:before="60" w:after="60"/>
      </w:pPr>
      <w:r>
        <w:t xml:space="preserve">LOWER PRIORITY: </w:t>
      </w:r>
      <w:proofErr w:type="spellStart"/>
      <w:r>
        <w:t>Migeot</w:t>
      </w:r>
      <w:proofErr w:type="spellEnd"/>
      <w:r>
        <w:t xml:space="preserve"> et al. 2024 — decide if it belongs here or only in the Discussion.</w:t>
      </w:r>
    </w:p>
    <w:p w14:paraId="17902DE1" w14:textId="77777777" w:rsidR="00D47101" w:rsidRDefault="00D47101">
      <w:pPr>
        <w:pBdr>
          <w:bottom w:val="single" w:sz="6" w:space="0" w:color="BBBBBB"/>
        </w:pBdr>
        <w:spacing w:before="240" w:after="240"/>
      </w:pPr>
    </w:p>
    <w:p w14:paraId="113CC172" w14:textId="77777777" w:rsidR="00D47101" w:rsidRDefault="00000000">
      <w:pPr>
        <w:pStyle w:val="Heading1"/>
      </w:pPr>
      <w:r>
        <w:t>PART 2 — DISCUSSION</w:t>
      </w:r>
    </w:p>
    <w:p w14:paraId="62D5E870" w14:textId="77777777" w:rsidR="00D47101" w:rsidRDefault="00000000">
      <w:pPr>
        <w:spacing w:before="100" w:after="100" w:line="300" w:lineRule="auto"/>
      </w:pPr>
      <w:r>
        <w:rPr>
          <w:color w:val="000000"/>
        </w:rPr>
        <w:t>Target: ~1,500 words. Social Science &amp; Medicine: interpret, do not summarize. Lead with meaning, not findings.</w:t>
      </w:r>
    </w:p>
    <w:p w14:paraId="4342E91A" w14:textId="77777777" w:rsidR="00D47101" w:rsidRDefault="00000000">
      <w:pPr>
        <w:pStyle w:val="Heading2"/>
      </w:pPr>
      <w:r>
        <w:t>A. Organized Notes — Four Core Messages</w:t>
      </w:r>
    </w:p>
    <w:p w14:paraId="78F5712B" w14:textId="77777777" w:rsidR="00D47101" w:rsidRDefault="00000000">
      <w:pPr>
        <w:spacing w:before="80" w:after="80" w:line="276" w:lineRule="auto"/>
        <w:ind w:left="720"/>
        <w:rPr>
          <w:color w:val="1F6B75"/>
          <w:sz w:val="20"/>
          <w:szCs w:val="20"/>
        </w:rPr>
      </w:pPr>
      <w:r>
        <w:rPr>
          <w:color w:val="1F6B75"/>
          <w:sz w:val="20"/>
          <w:szCs w:val="20"/>
        </w:rPr>
        <w:t>📌 Your four core messages, reorganized and expanded with the references and quotes from your notes.</w:t>
      </w:r>
    </w:p>
    <w:p w14:paraId="5CB3A8BC" w14:textId="77777777" w:rsidR="00B62D4A" w:rsidRDefault="00B62D4A">
      <w:pPr>
        <w:spacing w:before="80" w:after="80" w:line="276" w:lineRule="auto"/>
        <w:ind w:left="720"/>
        <w:rPr>
          <w:color w:val="1F6B75"/>
          <w:sz w:val="20"/>
          <w:szCs w:val="20"/>
        </w:rPr>
      </w:pPr>
    </w:p>
    <w:p w14:paraId="1A44F46E" w14:textId="77777777" w:rsidR="002235C5" w:rsidRDefault="002235C5" w:rsidP="002235C5">
      <w:pPr>
        <w:spacing w:before="100" w:after="100" w:line="300" w:lineRule="auto"/>
      </w:pPr>
      <w:r>
        <w:rPr>
          <w:color w:val="000000"/>
        </w:rPr>
        <w:t xml:space="preserve">The incorporation of the HWISE into Mexico’s national health survey (ENSANUT) since 2021 has extended this evidence base, confirming the scale’s reliability and validity across urban and rural Mexican populations (Shamah-Levy et al., 2022). Nevertheless, nationally aggregated data cannot capture the local dynamics of water insecurity in communities with </w:t>
      </w:r>
      <w:proofErr w:type="gramStart"/>
      <w:r>
        <w:rPr>
          <w:color w:val="000000"/>
        </w:rPr>
        <w:t>particular infrastructural</w:t>
      </w:r>
      <w:proofErr w:type="gramEnd"/>
      <w:r>
        <w:rPr>
          <w:color w:val="000000"/>
        </w:rPr>
        <w:t xml:space="preserve"> histories, neighborhood-level inequalities, and culturally embedded expectations about water access — the kind of granular, context-specific understanding needed to design effective local interventions.</w:t>
      </w:r>
    </w:p>
    <w:p w14:paraId="2D05A388" w14:textId="77777777" w:rsidR="002235C5" w:rsidRDefault="002235C5">
      <w:pPr>
        <w:spacing w:before="80" w:after="80" w:line="276" w:lineRule="auto"/>
        <w:ind w:left="720"/>
      </w:pPr>
    </w:p>
    <w:p w14:paraId="7B037FF2" w14:textId="77777777" w:rsidR="00D47101" w:rsidRDefault="00000000">
      <w:pPr>
        <w:pStyle w:val="Heading3"/>
      </w:pPr>
      <w:r>
        <w:t>Core Message 1 — Perceived experience &gt; objective neighborhood classification for stress</w:t>
      </w:r>
    </w:p>
    <w:p w14:paraId="50505462" w14:textId="77777777" w:rsidR="00D47101" w:rsidRDefault="00000000">
      <w:pPr>
        <w:pStyle w:val="ListParagraph"/>
        <w:numPr>
          <w:ilvl w:val="0"/>
          <w:numId w:val="2"/>
        </w:numPr>
        <w:spacing w:before="60" w:after="60"/>
      </w:pPr>
      <w:r>
        <w:t>Neighborhood classification (objective WI) never predicts PSS in adjusted models</w:t>
      </w:r>
    </w:p>
    <w:p w14:paraId="34C21BFA" w14:textId="77777777" w:rsidR="00D47101" w:rsidRDefault="00000000">
      <w:pPr>
        <w:pStyle w:val="ListParagraph"/>
        <w:numPr>
          <w:ilvl w:val="0"/>
          <w:numId w:val="2"/>
        </w:numPr>
        <w:spacing w:before="60" w:after="60"/>
      </w:pPr>
      <w:r>
        <w:t>HWISE predicts PSS consistently across all adjusted models — this is the headline finding</w:t>
      </w:r>
    </w:p>
    <w:p w14:paraId="15B820A3" w14:textId="77777777" w:rsidR="00D47101" w:rsidRDefault="00000000">
      <w:pPr>
        <w:pStyle w:val="ListParagraph"/>
        <w:numPr>
          <w:ilvl w:val="0"/>
          <w:numId w:val="2"/>
        </w:numPr>
        <w:spacing w:before="60" w:after="60"/>
      </w:pPr>
      <w:r>
        <w:t>Interpretation: it is not where you live that stresses you, it is how you experience your water situation</w:t>
      </w:r>
    </w:p>
    <w:p w14:paraId="53C8C662" w14:textId="77777777" w:rsidR="00D47101" w:rsidRDefault="00000000">
      <w:pPr>
        <w:pStyle w:val="ListParagraph"/>
        <w:numPr>
          <w:ilvl w:val="0"/>
          <w:numId w:val="2"/>
        </w:numPr>
        <w:spacing w:before="60" w:after="60"/>
      </w:pPr>
      <w:r>
        <w:t>Only genuinely external/structural variable is neighborhood classification; it is the odd one out, and the one that does not predict stress</w:t>
      </w:r>
    </w:p>
    <w:p w14:paraId="586F8E25" w14:textId="77777777" w:rsidR="00D47101" w:rsidRDefault="00000000">
      <w:pPr>
        <w:pStyle w:val="ListParagraph"/>
        <w:numPr>
          <w:ilvl w:val="0"/>
          <w:numId w:val="2"/>
        </w:numPr>
        <w:spacing w:before="60" w:after="60"/>
      </w:pPr>
      <w:r>
        <w:lastRenderedPageBreak/>
        <w:t>Aligns with stress appraisal theory (Lazarus &amp; Folkman 1984): appraisal of threat, not objective exposure, drives response</w:t>
      </w:r>
    </w:p>
    <w:p w14:paraId="4AACF489" w14:textId="77777777" w:rsidR="00D47101" w:rsidRDefault="00000000">
      <w:pPr>
        <w:pStyle w:val="ListParagraph"/>
        <w:numPr>
          <w:ilvl w:val="0"/>
          <w:numId w:val="2"/>
        </w:numPr>
        <w:spacing w:before="60" w:after="60"/>
      </w:pPr>
      <w:r>
        <w:t>Thomson 2024: supply interruptions increase distress and maladaptive coping; predictability mitigates effects 25–50% — felt control matters as much as frequency of interruption</w:t>
      </w:r>
    </w:p>
    <w:p w14:paraId="682E1677" w14:textId="77777777" w:rsidR="00D47101" w:rsidRDefault="00000000">
      <w:pPr>
        <w:pStyle w:val="Heading3"/>
      </w:pPr>
      <w:r>
        <w:t>Core Message 2 — PSS and water emotion capture different things</w:t>
      </w:r>
    </w:p>
    <w:p w14:paraId="4B20C63F" w14:textId="77777777" w:rsidR="00D47101" w:rsidRDefault="00000000">
      <w:pPr>
        <w:pStyle w:val="ListParagraph"/>
        <w:numPr>
          <w:ilvl w:val="0"/>
          <w:numId w:val="2"/>
        </w:numPr>
        <w:spacing w:before="60" w:after="60"/>
      </w:pPr>
      <w:r>
        <w:t>PSS (general stress) predicted by affective/functional HWISE items: worry, anger, can’t bathe, sleep disrupted — items touching dignity and daily routine</w:t>
      </w:r>
    </w:p>
    <w:p w14:paraId="436231C2" w14:textId="77777777" w:rsidR="00D47101" w:rsidRDefault="00000000">
      <w:pPr>
        <w:pStyle w:val="ListParagraph"/>
        <w:numPr>
          <w:ilvl w:val="0"/>
          <w:numId w:val="2"/>
        </w:numPr>
        <w:spacing w:before="60" w:after="60"/>
      </w:pPr>
      <w:r>
        <w:t>Negative water emotion predicted by structural/material variables too: intermittency, supply frequency, hours, time burden, neighborhood comparison</w:t>
      </w:r>
    </w:p>
    <w:p w14:paraId="291BB545" w14:textId="77777777" w:rsidR="00D47101" w:rsidRDefault="00000000">
      <w:pPr>
        <w:pStyle w:val="ListParagraph"/>
        <w:numPr>
          <w:ilvl w:val="0"/>
          <w:numId w:val="2"/>
        </w:numPr>
        <w:spacing w:before="60" w:after="60"/>
      </w:pPr>
      <w:r>
        <w:t>Time handling water (OR=5.95) and intermittency (OR=2.97) predict negative emotion and stay significant alongside HWISE — additive, not redundant</w:t>
      </w:r>
    </w:p>
    <w:p w14:paraId="2705F115" w14:textId="77777777" w:rsidR="00D47101" w:rsidRDefault="00000000">
      <w:pPr>
        <w:pStyle w:val="ListParagraph"/>
        <w:numPr>
          <w:ilvl w:val="0"/>
          <w:numId w:val="2"/>
        </w:numPr>
        <w:spacing w:before="60" w:after="60"/>
      </w:pPr>
      <w:r>
        <w:t>HWISE × neighborhood comparison interaction: perceiving your neighborhood’s water as worse amplifies the HWISE-emotion association — relative deprivation dynamic</w:t>
      </w:r>
    </w:p>
    <w:p w14:paraId="29FE8461" w14:textId="77777777" w:rsidR="00D47101" w:rsidRDefault="00000000">
      <w:pPr>
        <w:pStyle w:val="ListParagraph"/>
        <w:numPr>
          <w:ilvl w:val="0"/>
          <w:numId w:val="2"/>
        </w:numPr>
        <w:spacing w:before="60" w:after="60"/>
      </w:pPr>
      <w:r>
        <w:t>Methodological implication: PSS alone undercounts water insecurity burden; domain-specific emotional outcomes should be used alongside</w:t>
      </w:r>
    </w:p>
    <w:p w14:paraId="2429373C" w14:textId="77777777" w:rsidR="00D47101" w:rsidRDefault="00000000">
      <w:pPr>
        <w:pStyle w:val="ListParagraph"/>
        <w:numPr>
          <w:ilvl w:val="0"/>
          <w:numId w:val="2"/>
        </w:numPr>
        <w:spacing w:before="60" w:after="60"/>
      </w:pPr>
      <w:r>
        <w:t>PSS co-varies with clinical mental health outcomes (depression); water emotion reflects appraisal of service quality rather than coping self-efficacy</w:t>
      </w:r>
    </w:p>
    <w:p w14:paraId="5C38C2E6" w14:textId="77777777" w:rsidR="00D47101" w:rsidRDefault="00000000">
      <w:pPr>
        <w:pStyle w:val="Heading3"/>
      </w:pPr>
      <w:r>
        <w:t>Core Message 3 — Seasonal worsening of supply does not produce seasonal worsening of stress</w:t>
      </w:r>
    </w:p>
    <w:p w14:paraId="0899E40C" w14:textId="77777777" w:rsidR="00D47101" w:rsidRDefault="00000000">
      <w:pPr>
        <w:pStyle w:val="ListParagraph"/>
        <w:numPr>
          <w:ilvl w:val="0"/>
          <w:numId w:val="2"/>
        </w:numPr>
        <w:spacing w:before="60" w:after="60"/>
      </w:pPr>
      <w:r>
        <w:t>HWISE 7.1 (rainy) vs. 9.8 (dry), p&lt;0.001 — significantly worse water conditions in dry season</w:t>
      </w:r>
    </w:p>
    <w:p w14:paraId="12CE68D1" w14:textId="77777777" w:rsidR="00D47101" w:rsidRDefault="00000000">
      <w:pPr>
        <w:pStyle w:val="ListParagraph"/>
        <w:numPr>
          <w:ilvl w:val="0"/>
          <w:numId w:val="2"/>
        </w:numPr>
        <w:spacing w:before="60" w:after="60"/>
      </w:pPr>
      <w:r>
        <w:t>PSS: 27.3 (rainy) vs. 27.2 (dry), p&gt;0.9 — no seasonal difference in stress</w:t>
      </w:r>
    </w:p>
    <w:p w14:paraId="1397E635" w14:textId="77777777" w:rsidR="00D47101" w:rsidRDefault="00000000">
      <w:pPr>
        <w:pStyle w:val="ListParagraph"/>
        <w:numPr>
          <w:ilvl w:val="0"/>
          <w:numId w:val="2"/>
        </w:numPr>
        <w:spacing w:before="60" w:after="60"/>
      </w:pPr>
      <w:r>
        <w:t>Interpretation: women have cognitively adapted to seasonal water scarcity (habituation, chronic vs. acute stressor literature)</w:t>
      </w:r>
    </w:p>
    <w:p w14:paraId="45672F48" w14:textId="77777777" w:rsidR="00D47101" w:rsidRDefault="00000000">
      <w:pPr>
        <w:pStyle w:val="ListParagraph"/>
        <w:numPr>
          <w:ilvl w:val="0"/>
          <w:numId w:val="2"/>
        </w:numPr>
        <w:spacing w:before="60" w:after="60"/>
      </w:pPr>
      <w:r>
        <w:t>Long-term residents (mean 22.4 years in neighborhood) may have normalized seasonal fluctuations as a predictable feature of their environment</w:t>
      </w:r>
    </w:p>
    <w:p w14:paraId="228DC78E" w14:textId="77777777" w:rsidR="00D47101" w:rsidRDefault="00000000">
      <w:pPr>
        <w:pStyle w:val="ListParagraph"/>
        <w:numPr>
          <w:ilvl w:val="0"/>
          <w:numId w:val="2"/>
        </w:numPr>
        <w:spacing w:before="60" w:after="60"/>
      </w:pPr>
      <w:r>
        <w:t>Extending Jepson et al. 2021: season shifted PSS baseline in Torreón; here it does not — possible habituation effect among longer-tenured residents</w:t>
      </w:r>
    </w:p>
    <w:p w14:paraId="342D69BB" w14:textId="77777777" w:rsidR="00D47101" w:rsidRDefault="00000000">
      <w:pPr>
        <w:pStyle w:val="ListParagraph"/>
        <w:numPr>
          <w:ilvl w:val="0"/>
          <w:numId w:val="2"/>
        </w:numPr>
        <w:spacing w:before="60" w:after="60"/>
      </w:pPr>
      <w:r>
        <w:t>Methodological implication: pooling data across seasons without testing for interaction risks misrepresenting the relationship; researchers should routinely test season × WI interactions</w:t>
      </w:r>
    </w:p>
    <w:p w14:paraId="4D3DE7ED" w14:textId="77777777" w:rsidR="00D47101" w:rsidRDefault="00000000">
      <w:pPr>
        <w:pStyle w:val="Heading3"/>
      </w:pPr>
      <w:r>
        <w:t>Core Message 4 (implicit) — Scale behavior and context specificity</w:t>
      </w:r>
    </w:p>
    <w:p w14:paraId="5AF74364" w14:textId="77777777" w:rsidR="00D47101" w:rsidRDefault="00000000">
      <w:pPr>
        <w:pStyle w:val="ListParagraph"/>
        <w:numPr>
          <w:ilvl w:val="0"/>
          <w:numId w:val="2"/>
        </w:numPr>
        <w:spacing w:before="60" w:after="60"/>
      </w:pPr>
      <w:r>
        <w:t>Your HWISE α = 0.85; ‘drink’ item lowest item-total correlation (r=0.47) — replicates Huffman &amp; Najera 2024 finding</w:t>
      </w:r>
    </w:p>
    <w:p w14:paraId="5AE13A6E" w14:textId="77777777" w:rsidR="00D47101" w:rsidRDefault="00000000">
      <w:pPr>
        <w:pStyle w:val="ListParagraph"/>
        <w:numPr>
          <w:ilvl w:val="0"/>
          <w:numId w:val="2"/>
        </w:numPr>
        <w:spacing w:before="60" w:after="60"/>
      </w:pPr>
      <w:r>
        <w:t>High WI prevalence (28%) substantially above CDMX average (13.6%); context-specific community studies needed alongside national surveillance</w:t>
      </w:r>
    </w:p>
    <w:p w14:paraId="0D8B6568" w14:textId="77777777" w:rsidR="00D47101" w:rsidRDefault="00000000">
      <w:pPr>
        <w:pStyle w:val="ListParagraph"/>
        <w:numPr>
          <w:ilvl w:val="0"/>
          <w:numId w:val="2"/>
        </w:numPr>
        <w:spacing w:before="60" w:after="60"/>
      </w:pPr>
      <w:r>
        <w:t>Comparison: Torreón mean HWISE 7.6, PSS 19.7 (Jepson 2021); your sample mean HWISE 8.4, PSS 27.2 — notably higher PSS despite similar WI levels — requires explanation</w:t>
      </w:r>
    </w:p>
    <w:p w14:paraId="37BDF949" w14:textId="77777777" w:rsidR="00D47101" w:rsidRDefault="00D47101">
      <w:pPr>
        <w:pBdr>
          <w:bottom w:val="single" w:sz="6" w:space="0" w:color="BBBBBB"/>
        </w:pBdr>
        <w:spacing w:before="240" w:after="240"/>
      </w:pPr>
    </w:p>
    <w:p w14:paraId="0E112955" w14:textId="77777777" w:rsidR="00D47101" w:rsidRDefault="00000000">
      <w:pPr>
        <w:pStyle w:val="Heading2"/>
      </w:pPr>
      <w:r>
        <w:lastRenderedPageBreak/>
        <w:t>B. Draft Prose — Discussion</w:t>
      </w:r>
    </w:p>
    <w:p w14:paraId="436B641E" w14:textId="77777777" w:rsidR="00D47101" w:rsidRDefault="00000000">
      <w:pPr>
        <w:spacing w:before="80" w:after="80" w:line="276" w:lineRule="auto"/>
        <w:ind w:left="720"/>
      </w:pPr>
      <w:r>
        <w:rPr>
          <w:color w:val="1F6B75"/>
          <w:sz w:val="20"/>
          <w:szCs w:val="20"/>
        </w:rPr>
        <w:t>📌 Suggested text. Map each paragraph to a core message. Written to interpret, not summarize.</w:t>
      </w:r>
    </w:p>
    <w:p w14:paraId="09EC9C42" w14:textId="77777777" w:rsidR="00D47101" w:rsidRDefault="00000000">
      <w:pPr>
        <w:spacing w:before="280" w:after="60"/>
      </w:pPr>
      <w:r>
        <w:rPr>
          <w:b/>
          <w:bCs/>
          <w:caps/>
          <w:color w:val="555555"/>
          <w:sz w:val="18"/>
          <w:szCs w:val="18"/>
        </w:rPr>
        <w:t>Paragraph 1 — Opening (transition, frame)</w:t>
      </w:r>
    </w:p>
    <w:p w14:paraId="55333CC8" w14:textId="77777777" w:rsidR="00D47101" w:rsidRDefault="00000000">
      <w:pPr>
        <w:spacing w:before="100" w:after="100" w:line="300" w:lineRule="auto"/>
      </w:pPr>
      <w:r>
        <w:rPr>
          <w:color w:val="000000"/>
        </w:rPr>
        <w:t xml:space="preserve">This study examined household water insecurity and its associations with perceived stress and water-related emotional appraisal among women in </w:t>
      </w:r>
      <w:proofErr w:type="spellStart"/>
      <w:r>
        <w:rPr>
          <w:color w:val="000000"/>
        </w:rPr>
        <w:t>Iztapalapa</w:t>
      </w:r>
      <w:proofErr w:type="spellEnd"/>
      <w:r>
        <w:rPr>
          <w:color w:val="000000"/>
        </w:rPr>
        <w:t>, Mexico City, across two seasons and two structurally distinct neighborhood types. Three findings, taken together, advance our understanding of how water insecurity operates as a psychosocial stressor in urban Latin American settings.</w:t>
      </w:r>
    </w:p>
    <w:p w14:paraId="29AFB653" w14:textId="77777777" w:rsidR="00D47101" w:rsidRDefault="00000000">
      <w:pPr>
        <w:spacing w:before="280" w:after="60"/>
      </w:pPr>
      <w:r>
        <w:rPr>
          <w:b/>
          <w:bCs/>
          <w:caps/>
          <w:color w:val="555555"/>
          <w:sz w:val="18"/>
          <w:szCs w:val="18"/>
        </w:rPr>
        <w:t>Paragraph 2 — Core Message 1</w:t>
      </w:r>
    </w:p>
    <w:p w14:paraId="54F256AF" w14:textId="77777777" w:rsidR="00D47101" w:rsidRDefault="00000000">
      <w:pPr>
        <w:spacing w:before="100" w:after="100" w:line="300" w:lineRule="auto"/>
      </w:pPr>
      <w:r>
        <w:rPr>
          <w:color w:val="000000"/>
        </w:rPr>
        <w:t>The most consistent pattern across adjusted models is that perceived, experienced water insecurity — captured by the HWISE — is a robust predictor of psychological stress, while the administrative classification of a neighborhood as water-secure or water-insecure is not. In no adjusted model did residing in a water-insecure neighborhood independently predict PSS; in every model that included HWISE, the scale predicted stress. This distinction has a clear theoretical interpretation: psychological stress responds to how water insecurity is lived and appraised, not to the aggregate supply conditions of one’s colonia as judged by external administrative criteria. This is consistent with stress appraisal theory (Lazarus &amp; Folkman, 1984), which holds that it is the perceived threat — not the objective hazard — that activates stress responses. It also aligns with evidence that predictability of supply mitigates the distress associated with water interruptions more than frequency of interruption per se (Thomson et al., 2024): what matters is not just whether water fails, but whether residents can anticipate and plan around it. These findings suggest that neighborhood-level administrative classifications, while useful for resource allocation, are blunt instruments for identifying the households most likely to bear the psychological burden of water insecurity.</w:t>
      </w:r>
    </w:p>
    <w:p w14:paraId="6FF44AD1" w14:textId="77777777" w:rsidR="00D47101" w:rsidRDefault="00000000">
      <w:pPr>
        <w:spacing w:before="280" w:after="60"/>
      </w:pPr>
      <w:r>
        <w:rPr>
          <w:b/>
          <w:bCs/>
          <w:caps/>
          <w:color w:val="555555"/>
          <w:sz w:val="18"/>
          <w:szCs w:val="18"/>
        </w:rPr>
        <w:t>Paragraph 3 — Core Message 2</w:t>
      </w:r>
    </w:p>
    <w:p w14:paraId="09E72C90" w14:textId="77777777" w:rsidR="00D47101" w:rsidRDefault="00000000">
      <w:pPr>
        <w:spacing w:before="100" w:after="100" w:line="300" w:lineRule="auto"/>
      </w:pPr>
      <w:r>
        <w:rPr>
          <w:color w:val="000000"/>
        </w:rPr>
        <w:t xml:space="preserve">A second finding is the divergence between what predicts general perceived stress and what predicts water-related emotional appraisal. The HWISE items most strongly associated with PSS are those capturing immediate functional and dignity-related consequences — worry about sufficiency, inability to bathe, sleep disruption — experiences that interfere directly with daily routines and the maintenance of personal and social norms. Negative water-related emotion, by contrast, is predicted both by these experiential HWISE items and by structural supply characteristics: intermittent supply (OR=2.97), time burden of water management (OR=5.95), and the perception of neighborhood water disadvantage relative to other parts of Mexico City. The time burden finding is particularly notable: it remains significant alongside HWISE in combined models, suggesting that the behavioral load of water procurement — monitoring tanks, adjusting schedules, managing storage — contributes to emotional appraisal through mechanisms partially independent of subjective experienced insecurity. The perception that one’s neighborhood receives worse water than the rest of the city further amplifies how HWISE </w:t>
      </w:r>
      <w:r>
        <w:rPr>
          <w:color w:val="000000"/>
        </w:rPr>
        <w:lastRenderedPageBreak/>
        <w:t>insecurity translates into negative emotion — a relative deprivation dynamic consistent with evidence that perceived social exclusion activates stress pathways independent of material conditions (Hatzenbuehler et al., 2013). Together, these findings suggest that general stress scales and domain-specific emotional outcomes capture distinct facets of the water insecurity burden, and that studies relying solely on the PSS may systematically underestimate the emotional impact of structural supply conditions.</w:t>
      </w:r>
    </w:p>
    <w:p w14:paraId="04A554BA" w14:textId="77777777" w:rsidR="00D47101" w:rsidRDefault="00000000">
      <w:pPr>
        <w:spacing w:before="280" w:after="60"/>
      </w:pPr>
      <w:r>
        <w:rPr>
          <w:b/>
          <w:bCs/>
          <w:caps/>
          <w:color w:val="555555"/>
          <w:sz w:val="18"/>
          <w:szCs w:val="18"/>
        </w:rPr>
        <w:t>Paragraph 4 — Core Message 3</w:t>
      </w:r>
    </w:p>
    <w:p w14:paraId="55B010D3" w14:textId="77777777" w:rsidR="00D47101" w:rsidRDefault="00000000">
      <w:pPr>
        <w:spacing w:before="100" w:after="100" w:line="300" w:lineRule="auto"/>
      </w:pPr>
      <w:r>
        <w:rPr>
          <w:color w:val="000000"/>
        </w:rPr>
        <w:t xml:space="preserve">Perhaps the most theoretically interesting finding is that seasonal worsening of water supply does not translate into seasonal worsening of psychological stress. HWISE scores were significantly higher in the dry season (9.8 vs. 7.1; p&lt;0.001), and nearly all supply characteristics worsened in that period. Yet mean PSS was virtually identical across seasons (27.3 rainy vs. 27.2 dry; p&gt;0.9), and the distribution of water-related emotions showed no seasonal pattern. One interpretation is that long-term residents (mean 22 years in the neighborhood) have adapted cognitively to seasonal water scarcity, treating it as a predictable feature of their environment rather than as an acute stressor — a process consistent with habituation to chronic environmental stressors and with evidence that perceived predictability mitigates distress responses (Thomson et al., 2024). This contrasts with the Torreón findings of Jepson et al. (2021), where season was independently associated with higher PSS; the difference may reflect the longer residential tenure of the </w:t>
      </w:r>
      <w:proofErr w:type="spellStart"/>
      <w:r>
        <w:rPr>
          <w:color w:val="000000"/>
        </w:rPr>
        <w:t>Iztapalapa</w:t>
      </w:r>
      <w:proofErr w:type="spellEnd"/>
      <w:r>
        <w:rPr>
          <w:color w:val="000000"/>
        </w:rPr>
        <w:t xml:space="preserve"> sample or differences in baseline water supply reliability between the two cities. Methodologically, this finding illustrates the risk of pooling data across seasons without testing for season interactions: while seasonal differences in exposure are large, the stress-relevant coefficient may be stable, and averaged estimates would obscure this stability.</w:t>
      </w:r>
    </w:p>
    <w:p w14:paraId="5E8263C4" w14:textId="77777777" w:rsidR="00D47101" w:rsidRDefault="00000000">
      <w:pPr>
        <w:spacing w:before="280" w:after="60"/>
      </w:pPr>
      <w:r>
        <w:rPr>
          <w:b/>
          <w:bCs/>
          <w:caps/>
          <w:color w:val="555555"/>
          <w:sz w:val="18"/>
          <w:szCs w:val="18"/>
        </w:rPr>
        <w:t>Paragraph 5 — Limitations</w:t>
      </w:r>
    </w:p>
    <w:p w14:paraId="4B3A2C5F" w14:textId="77777777" w:rsidR="00D47101" w:rsidRDefault="00000000">
      <w:pPr>
        <w:spacing w:before="100" w:after="100" w:line="300" w:lineRule="auto"/>
      </w:pPr>
      <w:r>
        <w:rPr>
          <w:color w:val="000000"/>
        </w:rPr>
        <w:t xml:space="preserve">Several limitations warrant note. First, the two-wave cross-sectional design involves different participants in each season; without longitudinal follow-up, within-person change in stress across seasons cannot be estimated, and the seasonal comparison reflects cohort rather than individual-level change. Second, recruitment was concentrated in two contrasting zones of </w:t>
      </w:r>
      <w:proofErr w:type="spellStart"/>
      <w:r>
        <w:rPr>
          <w:color w:val="000000"/>
        </w:rPr>
        <w:t>Iztapalapa</w:t>
      </w:r>
      <w:proofErr w:type="spellEnd"/>
      <w:r>
        <w:rPr>
          <w:color w:val="000000"/>
        </w:rPr>
        <w:t xml:space="preserve"> and may not be fully representative of the borough’s heterogeneous neighborhoods. Third, </w:t>
      </w:r>
      <w:proofErr w:type="gramStart"/>
      <w:r>
        <w:rPr>
          <w:color w:val="000000"/>
        </w:rPr>
        <w:t>with the exception of</w:t>
      </w:r>
      <w:proofErr w:type="gramEnd"/>
      <w:r>
        <w:rPr>
          <w:color w:val="000000"/>
        </w:rPr>
        <w:t xml:space="preserve"> the neighborhood classification (derived from a government administrative resolution), all supply predictors — hours of water per week, intermittency, time burden — are self-reported rather than objectively measured, making them sensitive to reporting biases that may be correlated with the outcomes. Finally, the cross-sectional design precludes causal inference; the associations documented here identify promising targets for longitudinal investigation but cannot establish the direction of the HWISE–PSS relationship.</w:t>
      </w:r>
    </w:p>
    <w:p w14:paraId="11C50E02" w14:textId="77777777" w:rsidR="00D47101" w:rsidRDefault="00000000">
      <w:pPr>
        <w:spacing w:before="280" w:after="60"/>
      </w:pPr>
      <w:r>
        <w:rPr>
          <w:b/>
          <w:bCs/>
          <w:caps/>
          <w:color w:val="555555"/>
          <w:sz w:val="18"/>
          <w:szCs w:val="18"/>
        </w:rPr>
        <w:t>Paragraph 6 — Policy implications and conclusion</w:t>
      </w:r>
    </w:p>
    <w:p w14:paraId="4FB71FDE" w14:textId="77777777" w:rsidR="00D47101" w:rsidRDefault="00000000">
      <w:pPr>
        <w:spacing w:before="100" w:after="100" w:line="300" w:lineRule="auto"/>
      </w:pPr>
      <w:r>
        <w:rPr>
          <w:color w:val="000000"/>
        </w:rPr>
        <w:t xml:space="preserve">These findings have implications for both measurement and intervention. For measurement: water insecurity surveillance instruments such as HWISE capture the psychologically relevant </w:t>
      </w:r>
      <w:r>
        <w:rPr>
          <w:color w:val="000000"/>
        </w:rPr>
        <w:lastRenderedPageBreak/>
        <w:t>dimensions of the experience more effectively than neighborhood-level classifications, and domain-specific emotional outcomes should be used alongside general stress scales to avoid undercounting the burden. For intervention: the strongest predictors of water-related emotional distress — supply intermittency, time burden, and perceived distributional unfairness — suggest that the predictability and perceived equity of water distribution may be as important as total volume supplied. Infrastructure improvements that reduce intermittency and increase supply consistency, and community communication strategies that address perceptions of unequal distribution, may yield emotional and psychological benefits even where total supply volumes cannot be quickly increased. Future longitudinal work is needed to establish whether the associations identified here reflect causal pathways, to track whether stress accumulates over seasons at the individual level, and to connect the psychosocial burden documented in this study to biological markers of chronic stress, including epigenetic signatures of allostatic load.</w:t>
      </w:r>
    </w:p>
    <w:p w14:paraId="3F4E69E1" w14:textId="77777777" w:rsidR="00D47101" w:rsidRDefault="00D47101">
      <w:pPr>
        <w:pBdr>
          <w:bottom w:val="single" w:sz="6" w:space="0" w:color="BBBBBB"/>
        </w:pBdr>
        <w:spacing w:before="240" w:after="240"/>
      </w:pPr>
    </w:p>
    <w:p w14:paraId="3E40BB99" w14:textId="77777777" w:rsidR="00D47101" w:rsidRDefault="00000000">
      <w:pPr>
        <w:pStyle w:val="Heading2"/>
      </w:pPr>
      <w:r>
        <w:t>C. Suggestions — What to Do Next with the Discussion</w:t>
      </w:r>
    </w:p>
    <w:p w14:paraId="5469B4C6" w14:textId="77777777" w:rsidR="00D47101" w:rsidRDefault="00000000">
      <w:pPr>
        <w:pStyle w:val="Heading3"/>
      </w:pPr>
      <w:r>
        <w:t>Gaps still to fill</w:t>
      </w:r>
    </w:p>
    <w:p w14:paraId="7648E1C0" w14:textId="77777777" w:rsidR="00D47101" w:rsidRDefault="00000000">
      <w:pPr>
        <w:pStyle w:val="ListParagraph"/>
        <w:numPr>
          <w:ilvl w:val="0"/>
          <w:numId w:val="2"/>
        </w:numPr>
        <w:spacing w:before="60" w:after="60"/>
      </w:pPr>
      <w:r>
        <w:t>PSS comparison to Jepson et al.: Your PSS mean is 27.2; Jepson et al.’s Torreón sample is 19.7. This difference is ~7 points and your committee will ask about it. A sentence acknowledging and hypothesizing is needed: possible explanations include broader stress context (poverty, urban precarity), different PSS versions (PSS-14 vs PSS-10 produces different ranges), recruitment strategy differences, or genuine differences in the stress burden of the two populations.</w:t>
      </w:r>
    </w:p>
    <w:p w14:paraId="65096A13" w14:textId="77777777" w:rsidR="00D47101" w:rsidRDefault="00000000">
      <w:pPr>
        <w:pStyle w:val="ListParagraph"/>
        <w:numPr>
          <w:ilvl w:val="0"/>
          <w:numId w:val="2"/>
        </w:numPr>
        <w:spacing w:before="60" w:after="60"/>
      </w:pPr>
      <w:r>
        <w:t>Mediation analysis: Your methods describe a causal mediation analysis (water emotion as mediator between HWISE and PSS). If results are ready, fold them into the discussion under Core Message 2 — it directly addresses the mechanistic pathway.</w:t>
      </w:r>
    </w:p>
    <w:p w14:paraId="35374753" w14:textId="77777777" w:rsidR="00D47101" w:rsidRDefault="00000000">
      <w:pPr>
        <w:pStyle w:val="ListParagraph"/>
        <w:numPr>
          <w:ilvl w:val="0"/>
          <w:numId w:val="2"/>
        </w:numPr>
        <w:spacing w:before="60" w:after="60"/>
      </w:pPr>
      <w:r>
        <w:t>Gender paragraph: Currently implicit. Add 2–3 sentences connecting the all-female sample to the gendered water labor literature — e.g., that women’s disproportionate responsibility for water management means they bear both the practical burden and the psychological cost of supply failures.</w:t>
      </w:r>
    </w:p>
    <w:p w14:paraId="24B80EA0" w14:textId="77777777" w:rsidR="00D47101" w:rsidRDefault="00000000">
      <w:pPr>
        <w:pStyle w:val="Heading3"/>
      </w:pPr>
      <w:r>
        <w:t>Priority action items</w:t>
      </w:r>
    </w:p>
    <w:p w14:paraId="4415D0F0" w14:textId="77777777" w:rsidR="00D47101" w:rsidRDefault="00000000">
      <w:pPr>
        <w:pStyle w:val="ListParagraph"/>
        <w:numPr>
          <w:ilvl w:val="0"/>
          <w:numId w:val="2"/>
        </w:numPr>
        <w:spacing w:before="60" w:after="60"/>
      </w:pPr>
      <w:r>
        <w:t>PRIORITY 1: Add the PSS comparison sentence (Jepson 19.7 vs. your 27.2) with a hypothesis.</w:t>
      </w:r>
    </w:p>
    <w:p w14:paraId="13FD659A" w14:textId="77777777" w:rsidR="00D47101" w:rsidRDefault="00000000">
      <w:pPr>
        <w:pStyle w:val="ListParagraph"/>
        <w:numPr>
          <w:ilvl w:val="0"/>
          <w:numId w:val="2"/>
        </w:numPr>
        <w:spacing w:before="60" w:after="60"/>
      </w:pPr>
      <w:r>
        <w:t>PRIORITY 2: Write or confirm the limitations paragraph — a draft is included above.</w:t>
      </w:r>
    </w:p>
    <w:p w14:paraId="7B2F7353" w14:textId="77777777" w:rsidR="00D47101" w:rsidRDefault="00000000">
      <w:pPr>
        <w:pStyle w:val="ListParagraph"/>
        <w:numPr>
          <w:ilvl w:val="0"/>
          <w:numId w:val="2"/>
        </w:numPr>
        <w:spacing w:before="60" w:after="60"/>
      </w:pPr>
      <w:r>
        <w:t>PRIORITY 3: Add 2-3 sentences on gendered water labor.</w:t>
      </w:r>
    </w:p>
    <w:p w14:paraId="666821B3" w14:textId="77777777" w:rsidR="00D47101" w:rsidRDefault="00000000">
      <w:pPr>
        <w:pStyle w:val="ListParagraph"/>
        <w:numPr>
          <w:ilvl w:val="0"/>
          <w:numId w:val="2"/>
        </w:numPr>
        <w:spacing w:before="60" w:after="60"/>
      </w:pPr>
      <w:r>
        <w:t>PRIORITY 4: If mediation results are available, integrate them under Core Message 2.</w:t>
      </w:r>
    </w:p>
    <w:p w14:paraId="43E1B51B" w14:textId="77777777" w:rsidR="00D47101" w:rsidRDefault="00000000">
      <w:pPr>
        <w:pStyle w:val="ListParagraph"/>
        <w:numPr>
          <w:ilvl w:val="0"/>
          <w:numId w:val="2"/>
        </w:numPr>
        <w:spacing w:before="60" w:after="60"/>
      </w:pPr>
      <w:r>
        <w:t xml:space="preserve">LOWER PRIORITY: Expand on allostatic load / </w:t>
      </w:r>
      <w:proofErr w:type="spellStart"/>
      <w:r>
        <w:t>Migeot</w:t>
      </w:r>
      <w:proofErr w:type="spellEnd"/>
      <w:r>
        <w:t xml:space="preserve"> et al. 2024 as a conceptual bridge to Chapter 2 (the epigenetics paper) — appropriate for the dissertation version.</w:t>
      </w:r>
    </w:p>
    <w:p w14:paraId="44EDA7EC" w14:textId="77777777" w:rsidR="00D47101" w:rsidRDefault="00D47101">
      <w:pPr>
        <w:pBdr>
          <w:bottom w:val="single" w:sz="6" w:space="0" w:color="BBBBBB"/>
        </w:pBdr>
        <w:spacing w:before="240" w:after="240"/>
      </w:pPr>
    </w:p>
    <w:p w14:paraId="6C4FDDC7" w14:textId="77777777" w:rsidR="00D47101" w:rsidRDefault="00000000">
      <w:pPr>
        <w:pStyle w:val="Heading1"/>
      </w:pPr>
      <w:r>
        <w:t>PART 3 — Reference Checklist</w:t>
      </w:r>
    </w:p>
    <w:p w14:paraId="4EFBFB5A" w14:textId="77777777" w:rsidR="00D47101" w:rsidRDefault="00000000">
      <w:pPr>
        <w:spacing w:before="100" w:after="100" w:line="300" w:lineRule="auto"/>
      </w:pPr>
      <w:r>
        <w:rPr>
          <w:color w:val="000000"/>
        </w:rPr>
        <w:lastRenderedPageBreak/>
        <w:t>All references cited or mentioned across your notes. Confirm each is in your reference manager.</w:t>
      </w:r>
    </w:p>
    <w:p w14:paraId="33E6804A" w14:textId="77777777" w:rsidR="00D47101" w:rsidRDefault="00000000">
      <w:pPr>
        <w:pStyle w:val="Heading3"/>
      </w:pPr>
      <w:r>
        <w:t>Core references (confirm in reference manager)</w:t>
      </w:r>
    </w:p>
    <w:p w14:paraId="2CD4737F" w14:textId="77777777" w:rsidR="00D47101" w:rsidRDefault="00000000">
      <w:pPr>
        <w:pStyle w:val="ListParagraph"/>
        <w:numPr>
          <w:ilvl w:val="0"/>
          <w:numId w:val="2"/>
        </w:numPr>
        <w:spacing w:before="60" w:after="60"/>
      </w:pPr>
      <w:r>
        <w:t>Young et al. (2019) — HWISE original scale</w:t>
      </w:r>
    </w:p>
    <w:p w14:paraId="6D5F9617" w14:textId="77777777" w:rsidR="00D47101" w:rsidRDefault="00000000">
      <w:pPr>
        <w:pStyle w:val="ListParagraph"/>
        <w:numPr>
          <w:ilvl w:val="0"/>
          <w:numId w:val="2"/>
        </w:numPr>
        <w:spacing w:before="60" w:after="60"/>
      </w:pPr>
      <w:r>
        <w:t>Jepson et al. (2021) — Torreón, season and water insecurity and PSS</w:t>
      </w:r>
    </w:p>
    <w:p w14:paraId="070DF116" w14:textId="77777777" w:rsidR="00D47101" w:rsidRDefault="00000000">
      <w:pPr>
        <w:pStyle w:val="ListParagraph"/>
        <w:numPr>
          <w:ilvl w:val="0"/>
          <w:numId w:val="2"/>
        </w:numPr>
        <w:spacing w:before="60" w:after="60"/>
      </w:pPr>
      <w:proofErr w:type="spellStart"/>
      <w:r>
        <w:t>Wutich</w:t>
      </w:r>
      <w:proofErr w:type="spellEnd"/>
      <w:r>
        <w:t xml:space="preserve"> (2009, 2020) — water affect, local </w:t>
      </w:r>
      <w:proofErr w:type="spellStart"/>
      <w:r>
        <w:t>biologies</w:t>
      </w:r>
      <w:proofErr w:type="spellEnd"/>
    </w:p>
    <w:p w14:paraId="3CE68EB7" w14:textId="77777777" w:rsidR="00D47101" w:rsidRDefault="00000000">
      <w:pPr>
        <w:pStyle w:val="ListParagraph"/>
        <w:numPr>
          <w:ilvl w:val="0"/>
          <w:numId w:val="2"/>
        </w:numPr>
        <w:spacing w:before="60" w:after="60"/>
      </w:pPr>
      <w:proofErr w:type="spellStart"/>
      <w:r>
        <w:t>Wutich</w:t>
      </w:r>
      <w:proofErr w:type="spellEnd"/>
      <w:r>
        <w:t xml:space="preserve"> &amp; Brewis (2014) — water affect framing [confirm year]</w:t>
      </w:r>
    </w:p>
    <w:p w14:paraId="73FDE562" w14:textId="77777777" w:rsidR="00D47101" w:rsidRDefault="00000000">
      <w:pPr>
        <w:pStyle w:val="ListParagraph"/>
        <w:numPr>
          <w:ilvl w:val="0"/>
          <w:numId w:val="2"/>
        </w:numPr>
        <w:spacing w:before="60" w:after="60"/>
      </w:pPr>
      <w:r>
        <w:t xml:space="preserve">Hadley &amp; </w:t>
      </w:r>
      <w:proofErr w:type="spellStart"/>
      <w:r>
        <w:t>Wutich</w:t>
      </w:r>
      <w:proofErr w:type="spellEnd"/>
      <w:r>
        <w:t xml:space="preserve"> (2009) — QUAIL reference questions</w:t>
      </w:r>
    </w:p>
    <w:p w14:paraId="6E55D7CF" w14:textId="77777777" w:rsidR="00D47101" w:rsidRDefault="00000000">
      <w:pPr>
        <w:pStyle w:val="ListParagraph"/>
        <w:numPr>
          <w:ilvl w:val="0"/>
          <w:numId w:val="2"/>
        </w:numPr>
        <w:spacing w:before="60" w:after="60"/>
      </w:pPr>
      <w:r>
        <w:t xml:space="preserve">Cohen, </w:t>
      </w:r>
      <w:proofErr w:type="spellStart"/>
      <w:r>
        <w:t>Kamarck</w:t>
      </w:r>
      <w:proofErr w:type="spellEnd"/>
      <w:r>
        <w:t xml:space="preserve"> &amp; Mermelstein (1983) — PSS original</w:t>
      </w:r>
    </w:p>
    <w:p w14:paraId="6E452019" w14:textId="77777777" w:rsidR="00D47101" w:rsidRDefault="00000000">
      <w:pPr>
        <w:pStyle w:val="ListParagraph"/>
        <w:numPr>
          <w:ilvl w:val="0"/>
          <w:numId w:val="2"/>
        </w:numPr>
        <w:spacing w:before="60" w:after="60"/>
      </w:pPr>
      <w:r>
        <w:t>González-Ramírez et al. (2013) — PSS Spanish validation for Mexico</w:t>
      </w:r>
    </w:p>
    <w:p w14:paraId="6CED61AE" w14:textId="77777777" w:rsidR="00D47101" w:rsidRDefault="00000000">
      <w:pPr>
        <w:pStyle w:val="ListParagraph"/>
        <w:numPr>
          <w:ilvl w:val="0"/>
          <w:numId w:val="2"/>
        </w:numPr>
        <w:spacing w:before="60" w:after="60"/>
      </w:pPr>
      <w:r>
        <w:t>Shamah-Levy et al. (2022) — HWISE validation in Mexico / ENSANUT</w:t>
      </w:r>
    </w:p>
    <w:p w14:paraId="69C94120" w14:textId="77777777" w:rsidR="00D47101" w:rsidRDefault="00000000">
      <w:pPr>
        <w:pStyle w:val="ListParagraph"/>
        <w:numPr>
          <w:ilvl w:val="0"/>
          <w:numId w:val="2"/>
        </w:numPr>
        <w:spacing w:before="60" w:after="60"/>
      </w:pPr>
      <w:r>
        <w:t>Huffman &amp; Najera (2024) — HWISE item behavior and cutoffs</w:t>
      </w:r>
    </w:p>
    <w:p w14:paraId="68D45EA3" w14:textId="77777777" w:rsidR="00D47101" w:rsidRDefault="00000000">
      <w:pPr>
        <w:pStyle w:val="ListParagraph"/>
        <w:numPr>
          <w:ilvl w:val="0"/>
          <w:numId w:val="2"/>
        </w:numPr>
        <w:spacing w:before="60" w:after="60"/>
      </w:pPr>
      <w:r>
        <w:t>Thomson et al. (2024) — water interruptions, predictability, and distress</w:t>
      </w:r>
    </w:p>
    <w:p w14:paraId="363F7047" w14:textId="77777777" w:rsidR="00D47101" w:rsidRDefault="00000000">
      <w:pPr>
        <w:pStyle w:val="ListParagraph"/>
        <w:numPr>
          <w:ilvl w:val="0"/>
          <w:numId w:val="2"/>
        </w:numPr>
        <w:spacing w:before="60" w:after="60"/>
      </w:pPr>
      <w:r>
        <w:t>Hatzenbuehler et al. (2013) — stigma, exclusion, and health</w:t>
      </w:r>
    </w:p>
    <w:p w14:paraId="3AC31E33" w14:textId="77777777" w:rsidR="00D47101" w:rsidRDefault="00000000">
      <w:pPr>
        <w:pStyle w:val="ListParagraph"/>
        <w:numPr>
          <w:ilvl w:val="0"/>
          <w:numId w:val="2"/>
        </w:numPr>
        <w:spacing w:before="60" w:after="60"/>
      </w:pPr>
      <w:r>
        <w:t>Seeman et al. (2010) — social relationships and allostatic load</w:t>
      </w:r>
    </w:p>
    <w:p w14:paraId="6A6A4C2A" w14:textId="77777777" w:rsidR="00D47101" w:rsidRDefault="00000000">
      <w:pPr>
        <w:pStyle w:val="ListParagraph"/>
        <w:numPr>
          <w:ilvl w:val="0"/>
          <w:numId w:val="2"/>
        </w:numPr>
        <w:spacing w:before="60" w:after="60"/>
      </w:pPr>
      <w:r>
        <w:t>Rosinger et al. (2021) — embodiment of water insecurity, Bolivia</w:t>
      </w:r>
    </w:p>
    <w:p w14:paraId="0AF8C599" w14:textId="77777777" w:rsidR="00D47101" w:rsidRDefault="00000000">
      <w:pPr>
        <w:pStyle w:val="ListParagraph"/>
        <w:numPr>
          <w:ilvl w:val="0"/>
          <w:numId w:val="2"/>
        </w:numPr>
        <w:spacing w:before="60" w:after="60"/>
      </w:pPr>
      <w:proofErr w:type="spellStart"/>
      <w:r>
        <w:t>Migeot</w:t>
      </w:r>
      <w:proofErr w:type="spellEnd"/>
      <w:r>
        <w:t xml:space="preserve"> et al. (2024) — allostasis in Latin America [confirm journal]</w:t>
      </w:r>
    </w:p>
    <w:p w14:paraId="04C12600" w14:textId="77777777" w:rsidR="00D47101" w:rsidRDefault="00000000">
      <w:pPr>
        <w:pStyle w:val="ListParagraph"/>
        <w:numPr>
          <w:ilvl w:val="0"/>
          <w:numId w:val="2"/>
        </w:numPr>
        <w:spacing w:before="60" w:after="60"/>
      </w:pPr>
      <w:r>
        <w:t>Frongillo et al. (2024) — HWISE cutoffs used in your Table 4.2</w:t>
      </w:r>
    </w:p>
    <w:p w14:paraId="00DB6FF2" w14:textId="77777777" w:rsidR="00D47101" w:rsidRDefault="00000000">
      <w:pPr>
        <w:pStyle w:val="ListParagraph"/>
        <w:numPr>
          <w:ilvl w:val="0"/>
          <w:numId w:val="2"/>
        </w:numPr>
        <w:spacing w:before="60" w:after="60"/>
      </w:pPr>
      <w:r>
        <w:t>Lazarus &amp; Folkman (1984) — stress appraisal theory</w:t>
      </w:r>
    </w:p>
    <w:p w14:paraId="7D625540" w14:textId="77777777" w:rsidR="00D47101" w:rsidRDefault="00000000">
      <w:pPr>
        <w:pStyle w:val="ListParagraph"/>
        <w:numPr>
          <w:ilvl w:val="0"/>
          <w:numId w:val="2"/>
        </w:numPr>
        <w:spacing w:before="60" w:after="60"/>
      </w:pPr>
      <w:r>
        <w:t xml:space="preserve">González-Villarreal — </w:t>
      </w:r>
      <w:proofErr w:type="spellStart"/>
      <w:r>
        <w:t>Iztapalapa</w:t>
      </w:r>
      <w:proofErr w:type="spellEnd"/>
      <w:r>
        <w:t xml:space="preserve"> water quality rankings [confirm year and format]</w:t>
      </w:r>
    </w:p>
    <w:p w14:paraId="406D7D40" w14:textId="77777777" w:rsidR="00D47101" w:rsidRDefault="00000000">
      <w:pPr>
        <w:pStyle w:val="Heading3"/>
      </w:pPr>
      <w:r>
        <w:t>Consider adding</w:t>
      </w:r>
    </w:p>
    <w:p w14:paraId="436ACF00" w14:textId="77777777" w:rsidR="00D47101" w:rsidRDefault="00000000">
      <w:pPr>
        <w:pStyle w:val="ListParagraph"/>
        <w:numPr>
          <w:ilvl w:val="0"/>
          <w:numId w:val="2"/>
        </w:numPr>
        <w:spacing w:before="60" w:after="60"/>
      </w:pPr>
      <w:r>
        <w:t>Brewis et al. — urban water insecurity and health in LMICs (broader context)</w:t>
      </w:r>
    </w:p>
    <w:p w14:paraId="7394092A" w14:textId="77777777" w:rsidR="00D47101" w:rsidRDefault="00000000">
      <w:pPr>
        <w:pStyle w:val="ListParagraph"/>
        <w:numPr>
          <w:ilvl w:val="0"/>
          <w:numId w:val="2"/>
        </w:numPr>
        <w:spacing w:before="60" w:after="60"/>
      </w:pPr>
      <w:r>
        <w:t>Reference for Mexico City government condonation resolution (gray literature; cite formally)</w:t>
      </w:r>
    </w:p>
    <w:p w14:paraId="11308C1E" w14:textId="77777777" w:rsidR="00D47101" w:rsidRDefault="00D47101">
      <w:pPr>
        <w:pBdr>
          <w:bottom w:val="single" w:sz="6" w:space="0" w:color="BBBBBB"/>
        </w:pBdr>
        <w:spacing w:before="240" w:after="240"/>
      </w:pPr>
    </w:p>
    <w:p w14:paraId="0E7C181E" w14:textId="77777777" w:rsidR="00D47101" w:rsidRDefault="00000000">
      <w:pPr>
        <w:spacing w:before="240"/>
      </w:pPr>
      <w:r>
        <w:rPr>
          <w:i/>
          <w:iCs/>
          <w:color w:val="999999"/>
          <w:sz w:val="18"/>
          <w:szCs w:val="18"/>
        </w:rPr>
        <w:t xml:space="preserve">Created by Claude — </w:t>
      </w:r>
      <w:proofErr w:type="spellStart"/>
      <w:r>
        <w:rPr>
          <w:i/>
          <w:iCs/>
          <w:color w:val="999999"/>
          <w:sz w:val="18"/>
          <w:szCs w:val="18"/>
        </w:rPr>
        <w:t>Cowork</w:t>
      </w:r>
      <w:proofErr w:type="spellEnd"/>
      <w:r>
        <w:rPr>
          <w:i/>
          <w:iCs/>
          <w:color w:val="999999"/>
          <w:sz w:val="18"/>
          <w:szCs w:val="18"/>
        </w:rPr>
        <w:t xml:space="preserve"> mode | March 2026</w:t>
      </w:r>
    </w:p>
    <w:sectPr w:rsidR="00D4710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D7BDD"/>
    <w:multiLevelType w:val="multilevel"/>
    <w:tmpl w:val="5176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B3005F"/>
    <w:multiLevelType w:val="hybridMultilevel"/>
    <w:tmpl w:val="DCBCB394"/>
    <w:lvl w:ilvl="0" w:tplc="B5BECF94">
      <w:start w:val="1"/>
      <w:numFmt w:val="bullet"/>
      <w:lvlText w:val="•"/>
      <w:lvlJc w:val="left"/>
      <w:pPr>
        <w:ind w:left="720" w:hanging="360"/>
      </w:pPr>
    </w:lvl>
    <w:lvl w:ilvl="1" w:tplc="F8C8BF88">
      <w:start w:val="1"/>
      <w:numFmt w:val="bullet"/>
      <w:lvlText w:val="◦"/>
      <w:lvlJc w:val="left"/>
      <w:pPr>
        <w:ind w:left="1080" w:hanging="360"/>
      </w:pPr>
    </w:lvl>
    <w:lvl w:ilvl="2" w:tplc="6D52651A">
      <w:numFmt w:val="decimal"/>
      <w:lvlText w:val=""/>
      <w:lvlJc w:val="left"/>
    </w:lvl>
    <w:lvl w:ilvl="3" w:tplc="1338BFDE">
      <w:numFmt w:val="decimal"/>
      <w:lvlText w:val=""/>
      <w:lvlJc w:val="left"/>
    </w:lvl>
    <w:lvl w:ilvl="4" w:tplc="1F56ADA6">
      <w:numFmt w:val="decimal"/>
      <w:lvlText w:val=""/>
      <w:lvlJc w:val="left"/>
    </w:lvl>
    <w:lvl w:ilvl="5" w:tplc="2D048234">
      <w:numFmt w:val="decimal"/>
      <w:lvlText w:val=""/>
      <w:lvlJc w:val="left"/>
    </w:lvl>
    <w:lvl w:ilvl="6" w:tplc="7FCEA2D8">
      <w:numFmt w:val="decimal"/>
      <w:lvlText w:val=""/>
      <w:lvlJc w:val="left"/>
    </w:lvl>
    <w:lvl w:ilvl="7" w:tplc="B2EEF844">
      <w:numFmt w:val="decimal"/>
      <w:lvlText w:val=""/>
      <w:lvlJc w:val="left"/>
    </w:lvl>
    <w:lvl w:ilvl="8" w:tplc="0024E062">
      <w:numFmt w:val="decimal"/>
      <w:lvlText w:val=""/>
      <w:lvlJc w:val="left"/>
    </w:lvl>
  </w:abstractNum>
  <w:abstractNum w:abstractNumId="2" w15:restartNumberingAfterBreak="0">
    <w:nsid w:val="25E0397C"/>
    <w:multiLevelType w:val="hybridMultilevel"/>
    <w:tmpl w:val="FE5CB7D2"/>
    <w:lvl w:ilvl="0" w:tplc="A1E687E6">
      <w:start w:val="1"/>
      <w:numFmt w:val="bullet"/>
      <w:lvlText w:val="●"/>
      <w:lvlJc w:val="left"/>
      <w:pPr>
        <w:ind w:left="720" w:hanging="360"/>
      </w:pPr>
    </w:lvl>
    <w:lvl w:ilvl="1" w:tplc="F5102CBE">
      <w:start w:val="1"/>
      <w:numFmt w:val="bullet"/>
      <w:lvlText w:val="○"/>
      <w:lvlJc w:val="left"/>
      <w:pPr>
        <w:ind w:left="1440" w:hanging="360"/>
      </w:pPr>
    </w:lvl>
    <w:lvl w:ilvl="2" w:tplc="D010922E">
      <w:start w:val="1"/>
      <w:numFmt w:val="bullet"/>
      <w:lvlText w:val="■"/>
      <w:lvlJc w:val="left"/>
      <w:pPr>
        <w:ind w:left="2160" w:hanging="360"/>
      </w:pPr>
    </w:lvl>
    <w:lvl w:ilvl="3" w:tplc="75DACCA0">
      <w:start w:val="1"/>
      <w:numFmt w:val="bullet"/>
      <w:lvlText w:val="●"/>
      <w:lvlJc w:val="left"/>
      <w:pPr>
        <w:ind w:left="2880" w:hanging="360"/>
      </w:pPr>
    </w:lvl>
    <w:lvl w:ilvl="4" w:tplc="BD1C567C">
      <w:start w:val="1"/>
      <w:numFmt w:val="bullet"/>
      <w:lvlText w:val="○"/>
      <w:lvlJc w:val="left"/>
      <w:pPr>
        <w:ind w:left="3600" w:hanging="360"/>
      </w:pPr>
    </w:lvl>
    <w:lvl w:ilvl="5" w:tplc="4E28CB4C">
      <w:start w:val="1"/>
      <w:numFmt w:val="bullet"/>
      <w:lvlText w:val="■"/>
      <w:lvlJc w:val="left"/>
      <w:pPr>
        <w:ind w:left="4320" w:hanging="360"/>
      </w:pPr>
    </w:lvl>
    <w:lvl w:ilvl="6" w:tplc="A0F09DD2">
      <w:start w:val="1"/>
      <w:numFmt w:val="bullet"/>
      <w:lvlText w:val="●"/>
      <w:lvlJc w:val="left"/>
      <w:pPr>
        <w:ind w:left="5040" w:hanging="360"/>
      </w:pPr>
    </w:lvl>
    <w:lvl w:ilvl="7" w:tplc="1554AC22">
      <w:start w:val="1"/>
      <w:numFmt w:val="bullet"/>
      <w:lvlText w:val="●"/>
      <w:lvlJc w:val="left"/>
      <w:pPr>
        <w:ind w:left="5760" w:hanging="360"/>
      </w:pPr>
    </w:lvl>
    <w:lvl w:ilvl="8" w:tplc="0ACED3C0">
      <w:start w:val="1"/>
      <w:numFmt w:val="bullet"/>
      <w:lvlText w:val="●"/>
      <w:lvlJc w:val="left"/>
      <w:pPr>
        <w:ind w:left="6480" w:hanging="360"/>
      </w:pPr>
    </w:lvl>
  </w:abstractNum>
  <w:abstractNum w:abstractNumId="3" w15:restartNumberingAfterBreak="0">
    <w:nsid w:val="29C06E66"/>
    <w:multiLevelType w:val="multilevel"/>
    <w:tmpl w:val="0A34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3452975">
    <w:abstractNumId w:val="2"/>
    <w:lvlOverride w:ilvl="0">
      <w:startOverride w:val="1"/>
    </w:lvlOverride>
  </w:num>
  <w:num w:numId="2" w16cid:durableId="390540189">
    <w:abstractNumId w:val="1"/>
    <w:lvlOverride w:ilvl="0">
      <w:startOverride w:val="1"/>
    </w:lvlOverride>
  </w:num>
  <w:num w:numId="3" w16cid:durableId="1834447882">
    <w:abstractNumId w:val="0"/>
  </w:num>
  <w:num w:numId="4" w16cid:durableId="10372399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101"/>
    <w:rsid w:val="002235C5"/>
    <w:rsid w:val="00360ADD"/>
    <w:rsid w:val="00733D7C"/>
    <w:rsid w:val="007D74EF"/>
    <w:rsid w:val="007F7B84"/>
    <w:rsid w:val="00B62D4A"/>
    <w:rsid w:val="00D47101"/>
    <w:rsid w:val="00D57B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12090B"/>
  <w15:docId w15:val="{531565DA-B511-0A42-BA02-47D8390EC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6"/>
      <w:szCs w:val="36"/>
    </w:rPr>
  </w:style>
  <w:style w:type="paragraph" w:styleId="Heading2">
    <w:name w:val="heading 2"/>
    <w:uiPriority w:val="9"/>
    <w:unhideWhenUsed/>
    <w:qFormat/>
    <w:pPr>
      <w:spacing w:before="300" w:after="120"/>
      <w:outlineLvl w:val="1"/>
    </w:pPr>
    <w:rPr>
      <w:b/>
      <w:bCs/>
      <w:color w:val="2E5090"/>
      <w:sz w:val="28"/>
      <w:szCs w:val="28"/>
    </w:rPr>
  </w:style>
  <w:style w:type="paragraph" w:styleId="Heading3">
    <w:name w:val="heading 3"/>
    <w:uiPriority w:val="9"/>
    <w:unhideWhenUsed/>
    <w:qFormat/>
    <w:pPr>
      <w:spacing w:before="220" w:after="80"/>
      <w:outlineLvl w:val="2"/>
    </w:pPr>
    <w:rPr>
      <w:b/>
      <w:bCs/>
      <w:i/>
      <w:iCs/>
      <w:color w:val="2E509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733D7C"/>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10</Pages>
  <Words>4156</Words>
  <Characters>23693</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Contreras, Paloma</cp:lastModifiedBy>
  <cp:revision>3</cp:revision>
  <dcterms:created xsi:type="dcterms:W3CDTF">2026-03-25T20:29:00Z</dcterms:created>
  <dcterms:modified xsi:type="dcterms:W3CDTF">2026-03-26T13:06:00Z</dcterms:modified>
</cp:coreProperties>
</file>