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Sample characteristics by season**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8" w:hRule="auto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Season of data collection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397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Rainy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201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196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2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Missing (%)</w:t>
            </w:r>
          </w:p>
        </w:tc>
      </w:tr>
      <w:tr>
        <w:trPr>
          <w:trHeight w:val="617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32.3 (7.4)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33.2 (7.1)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31.3 (7.6)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 (3.6)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 (4.3)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 (1.7)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5.29%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 (1.3)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 (1.2)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 (1.3)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4.53%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SES (NSE-AMAI)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1.51%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(3.58%)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(2.54%)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D-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 (13.8%)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(16.0%)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D+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(15.3%)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C-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 (23.0%)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(23.9%)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(22.2%)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 (23.5%)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(22.3%)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(24.7%)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C+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(13.6%)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(17.3%)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(9.79%)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 (7.16%)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Employed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 (70.3%)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138 (69.7%)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130 (71.0%)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4.03%</w:t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Chronic pain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 (27.2%)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(27.4%)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(27.0%)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&gt;0.999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 (16.4%)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(11.9%)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 (20.9%)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0%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1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Mean (SD) for continuous variables; n (%) for categorical variables.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2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Wilcoxon rank sum test; Kruskal-Wallis rank sum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2026-03-26T14:33:28Z</dcterms:modified>
  <cp:category/>
</cp:coreProperties>
</file>