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S1b. Sample characteristics by neighborhood water security status**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18" w:hRule="auto"/>
          <w:tblHeader/>
        </w:trPr>
        <w:tc>
          <w:tcPr>
            <w:gridSpan w:val="2"/>
            <w:tcBorders>
              <w:bottom w:val="none" w:sz="0" w:space="0" w:color="000000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</w:t>
            </w:r>
          </w:p>
        </w:tc>
        <w:tc>
          <w:tcPr>
            <w:gridSpan w:val="2"/>
            <w:tcBorders>
              <w:bottom w:val="none" w:sz="0" w:space="0" w:color="000000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By neighborhood</w:t>
            </w:r>
          </w:p>
        </w:tc>
        <w:tc>
          <w:tcPr>
            <w:gridSpan w:val="2"/>
            <w:tcBorders>
              <w:bottom w:val="none" w:sz="0" w:space="0" w:color="000000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</w:t>
            </w:r>
          </w:p>
        </w:tc>
      </w:tr>
      <w:tr>
        <w:trPr>
          <w:trHeight w:val="740" w:hRule="auto"/>
          <w:tblHeader/>
        </w:trPr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Variable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Overall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397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1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Water Secure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196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1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Water Insecure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201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1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p-value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2</w:t>
            </w:r>
          </w:p>
        </w:tc>
        <w:tc>
          <w:tcPr>
            <w:tcBorders>
              <w:bottom w:val="single" w:sz="12" w:space="0" w:color="1A3A5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A3A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Missing (%)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Age (years)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32.3 (7.4)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32.3 (7.3)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32.2 (7.5)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0.878</w:t>
            </w:r>
          </w:p>
        </w:tc>
        <w:tc>
          <w:tcPr>
            <w:tcBorders>
              <w:bottom w:val="single" w:sz="4" w:space="0" w:color="BDC3C7"/>
              <w:top w:val="single" w:sz="12" w:space="0" w:color="1A3A5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0.50%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Years in neighborhood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22.4 (11.4)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21.7 (11.4)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23.2 (11.3)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8.31%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Household size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5.6 (3.6)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5.8 (4.2)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5.5 (2.9)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5.29%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Parity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 (1.3)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 (1.3)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 (1.2)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4.53%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SES (NSE-AMAI)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1.51%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(3.58%)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(3.09%)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(4.06%)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D-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 (13.8%)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 (16.0%)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 (11.7%)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D+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 (15.3%)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 (13.9%)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 (16.8%)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C-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 (23.0%)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 (26.3%)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(19.8%)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 (23.5%)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 (21.1%)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 (25.9%)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C+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 (13.6%)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(12.9%)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 (14.2%)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 (7.16%)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(6.70%)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(7.61%)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Education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2.02%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formal / incomplete primary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(4.11%)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(2.62%)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(5.56%)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Complete primary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 (9.25%)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(9.95%)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 (8.59%)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Incomplete secondary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 (6.17%)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(6.81%)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(5.56%)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Complete secondary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136 (35.0%)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 (31.9%)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 (37.9%)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Incomplete high school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 (12.3%)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 (14.1%)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(10.6%)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Complete high school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 (23.1%)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 (22.5%)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 (23.7%)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University or higher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(10.0%)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 (12.0%)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(8.08%)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Employed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268 (70.3%)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136 (73.9%)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132 (67.0%)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4.03%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Employment type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46.3%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Informal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153 (71.8%)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 (66.4%)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 (78.4%)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Formal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 (28.2%)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(33.6%)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(21.6%)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Smoking status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114 (29.8%)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 (33.2%)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 (26.8%)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3.78%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Hormonal treatment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(2.29%)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(1.81%)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(2.73%)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12.1%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Regular medication use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(4.49%)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(5.03%)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(4.00%)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15.9%</w:t>
            </w:r>
          </w:p>
        </w:tc>
      </w:tr>
      <w:tr>
        <w:trPr>
          <w:trHeight w:val="619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Chronic pain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108 (27.2%)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 (26.5%)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 (27.9%)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0%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Chronic disease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 (16.4%)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 (13.3%)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(19.4%)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0%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vertAlign w:val="superscript"/>
                <w:sz w:val="18"/>
                <w:szCs w:val="18"/>
                <w:color w:val="555555"/>
              </w:rPr>
              <w:t xml:space="preserve">1</w:t>
            </w: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  <w:t xml:space="preserve">Mean (SD) for continuous variables; n (%) for categorical variables.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vertAlign w:val="superscript"/>
                <w:sz w:val="18"/>
                <w:szCs w:val="18"/>
                <w:color w:val="555555"/>
              </w:rPr>
              <w:t xml:space="preserve">2</w:t>
            </w: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  <w:t xml:space="preserve">Wilcoxon rank sum test; Kruskal-Wallis rank sum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2026-03-26T14:33:26Z</dcterms:modified>
  <cp:category/>
</cp:coreProperties>
</file>