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Sample characteristics by season**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01"/>
        <w:gridCol w:w="1475"/>
        <w:gridCol w:w="1475"/>
        <w:gridCol w:w="1475"/>
        <w:gridCol w:w="1181"/>
      </w:tblGrid>
      <w:tr>
        <w:trPr>
          <w:trHeight w:val="57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Season of data collection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Rainy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Dry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 (7.4)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 (7.1)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 (7.6)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22.4 (11.4)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22.8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 (11.5)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SES (NSE-AMAI)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formal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primary (1–5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secondary (7–8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high school (10–11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high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university (13–15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Postgraduate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Employment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test; NA;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2026-03-18T15:46:59Z</dcterms:modified>
  <cp:category/>
</cp:coreProperties>
</file>