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S1. Sample characteristics — full variable set (n = 399)**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01"/>
        <w:gridCol w:w="1475"/>
        <w:gridCol w:w="1475"/>
        <w:gridCol w:w="1475"/>
        <w:gridCol w:w="1181"/>
        <w:gridCol w:w="1633"/>
      </w:tblGrid>
      <w:tr>
        <w:trPr>
          <w:trHeight w:val="616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By season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 (7.4)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 (7.1)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 (7.6)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0.8%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22.4 (11.4)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22.8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 (11.5)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4.8%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SES (NSE-AMAI)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formal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primary (1–5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secondary (7–8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high school (10–11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high school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Incomplete university (13–15 yrs)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 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Postgraduate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Currently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Employment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4.0%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Occasionally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Hormonal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12%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Regular medication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16%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0.8%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0%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NA;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2026-03-18T15:47:00Z</dcterms:modified>
  <cp:category/>
</cp:coreProperties>
</file>