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**Table. Sample characteristics by water insecurity level (n = 389)**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01"/>
        <w:gridCol w:w="1475"/>
        <w:gridCol w:w="1597"/>
        <w:gridCol w:w="2085"/>
        <w:gridCol w:w="2281"/>
        <w:gridCol w:w="2025"/>
        <w:gridCol w:w="1181"/>
      </w:tblGrid>
      <w:tr>
        <w:trPr>
          <w:trHeight w:val="621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insecurity level (HWISE)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81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389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Secure (0)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Marginal (1-11)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Moderate (12-23)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Severe (24-36)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 (7.4)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35.2 (6.5)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 (7.2)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 (8.1)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 (4.7)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22.5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21.7 (12.3)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22.5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 (11.0)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(9.3)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Parity (n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SES (NSE-AMAI)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primary (1–5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secondary (7–8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high school (10–11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university (13–15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Postgraduate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264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PSS-14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 (7.2)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stress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stress (≤22)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stress (23-31)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stress (≥32)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Water_5sub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(3.0)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 (2.1)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 (1.3)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One-way analysis of means; Pearson's Chi-squared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2026-03-18T15:47:02Z</dcterms:modified>
  <cp:category/>
</cp:coreProperties>
</file>