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**Table. Objective water supply characteristics by neighborhood (n = 397)**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3371"/>
        <w:gridCol w:w="3738"/>
        <w:gridCol w:w="3248"/>
        <w:gridCol w:w="1181"/>
      </w:tblGrid>
      <w:tr>
        <w:trPr>
          <w:trHeight w:val="61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Neighborhood 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4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Secure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Insecure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source (Season 2 only)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 network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Supply continuity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Reduced pressure/flow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85.3 (69.6) / 42.0 [21.0, 168.0]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136.1 (56.8) / 168.0 [126.0, 168.0]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 (41.8) / 24.5 [17.5, 38.5]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Adequate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Mean (SD) / Median [Q1, Q3]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NA; Pearson's Chi-squared test; Welch Two Sample t-test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2026-03-18T15:39:43Z</dcterms:modified>
  <cp:category/>
</cp:coreProperties>
</file>