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**Table. Objective water supply characteristics by neighborhood (n = 397)**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21"/>
        <w:gridCol w:w="3371"/>
        <w:gridCol w:w="3738"/>
        <w:gridCol w:w="3248"/>
        <w:gridCol w:w="1181"/>
      </w:tblGrid>
      <w:tr>
        <w:trPr>
          <w:trHeight w:val="618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Neighborhood type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74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397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Secure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Insecure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201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Water source (Season 2 only)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network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175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Supply continuity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Intermittent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269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 (93%)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Reduced pressure/flow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Supply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Continuous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 (81%)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4–6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1–3 days/week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Intermittent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 (62%)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85.3 (69.6) / 42.0 [21.0, 168.0]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136.1 (56.8) / 168.0 [126.0, 168.0]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 (41.8) / 24.5 [17.5, 38.5]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Adequate water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 (76%)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 (80%)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No/Low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(%); Mean (SD) / Median [Q1, Q3]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NA; Fisher's exact test; Wilcoxon rank sum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2026-03-18T15:47:03Z</dcterms:modified>
  <cp:category/>
</cp:coreProperties>
</file>